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ACEC4">
      <w:pPr>
        <w:spacing w:line="580" w:lineRule="exact"/>
        <w:jc w:val="center"/>
        <w:rPr>
          <w:rFonts w:hint="eastAsia" w:ascii="宋体" w:hAnsi="宋体"/>
          <w:b w:val="0"/>
          <w:bCs/>
          <w:sz w:val="44"/>
          <w:szCs w:val="44"/>
        </w:rPr>
      </w:pPr>
      <w:r>
        <w:rPr>
          <w:rFonts w:hint="eastAsia" w:ascii="黑体" w:hAnsi="黑体" w:eastAsia="黑体" w:cs="黑体"/>
          <w:b w:val="0"/>
          <w:bCs/>
          <w:sz w:val="28"/>
          <w:szCs w:val="28"/>
        </w:rPr>
        <w:t>河北体育学院物资采购、验收管理办法</w:t>
      </w:r>
    </w:p>
    <w:p w14:paraId="71C36C49">
      <w:pPr>
        <w:spacing w:line="580" w:lineRule="exact"/>
        <w:jc w:val="center"/>
        <w:rPr>
          <w:rFonts w:hint="eastAsia" w:ascii="仿宋" w:hAnsi="仿宋" w:eastAsia="仿宋" w:cs="仿宋"/>
          <w:sz w:val="28"/>
          <w:szCs w:val="28"/>
        </w:rPr>
      </w:pPr>
      <w:r>
        <w:rPr>
          <w:rFonts w:hint="eastAsia" w:ascii="仿宋" w:hAnsi="仿宋" w:eastAsia="仿宋" w:cs="仿宋"/>
          <w:sz w:val="28"/>
          <w:szCs w:val="28"/>
        </w:rPr>
        <w:t>冀体院字〔2018〕62号</w:t>
      </w:r>
    </w:p>
    <w:p w14:paraId="0DC200B2">
      <w:pPr>
        <w:spacing w:line="580" w:lineRule="exact"/>
        <w:rPr>
          <w:rFonts w:hint="eastAsia" w:ascii="仿宋" w:hAnsi="仿宋" w:eastAsia="仿宋" w:cs="仿宋"/>
          <w:sz w:val="28"/>
          <w:szCs w:val="28"/>
        </w:rPr>
      </w:pPr>
    </w:p>
    <w:p w14:paraId="0E56994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第一条 为了规范河北体育学院物资采购及验收运行的管理机制，提高办学效益，保证物资采购质量。根据《中华人民共和国政府采购法》、《中华人民共和国招标投标法》、《河北省政府采购管理办法》、《河北省省级行政事业单位通用办公设备及家具配置标准》、《河北省省级政府采购协议供货暂行管理办法》的有关规章制度，结合我院实际，制定本办法。</w:t>
      </w:r>
    </w:p>
    <w:p w14:paraId="0D0569A0">
      <w:pPr>
        <w:spacing w:line="580" w:lineRule="exact"/>
        <w:ind w:firstLine="420" w:firstLineChars="150"/>
        <w:rPr>
          <w:rFonts w:hint="eastAsia" w:ascii="仿宋" w:hAnsi="仿宋" w:eastAsia="仿宋" w:cs="仿宋"/>
          <w:sz w:val="28"/>
          <w:szCs w:val="28"/>
        </w:rPr>
      </w:pPr>
      <w:r>
        <w:rPr>
          <w:rFonts w:hint="eastAsia" w:ascii="仿宋" w:hAnsi="仿宋" w:eastAsia="仿宋" w:cs="仿宋"/>
          <w:sz w:val="28"/>
          <w:szCs w:val="28"/>
        </w:rPr>
        <w:t xml:space="preserve"> 第二条 学院各系、部、处、室等部门（以下简称采购人）实施采购，根据《河北省政府集中采购目录和限额标准》，严格执行政府采购制度。《政府采购目录》包括：货物、工程和服务，如：办公设备、专业设备、交通工具、体育器材、服装、营养品、网络工程、基建工程、修缮、装饰工程、物业服务、班车服务等。</w:t>
      </w:r>
    </w:p>
    <w:p w14:paraId="716103C4">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各部门只有纳入年度政府采购预算配置的资产，方能进行政府采购手续。政府采购目录以外或未达到政府采购限额的按照省体育局及学院相关规定进行采购，财务处设备管理科负责组织采购的具体事宜。</w:t>
      </w:r>
    </w:p>
    <w:p w14:paraId="28BBFC1E">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纳入协议供货目录的采购项目无论金额大小，均需办理政府采购手续。纳入省集中采购的协议供货项目需由采购办统一采购。</w:t>
      </w:r>
    </w:p>
    <w:p w14:paraId="548BFE7B">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第三条 </w:t>
      </w:r>
      <w:r>
        <w:rPr>
          <w:rFonts w:hint="eastAsia" w:ascii="仿宋" w:hAnsi="仿宋" w:eastAsia="仿宋" w:cs="仿宋"/>
          <w:bCs/>
          <w:sz w:val="28"/>
          <w:szCs w:val="28"/>
        </w:rPr>
        <w:t>政府采购严格按河北省政府采购办公室批准的采购方式进行采购</w:t>
      </w:r>
      <w:r>
        <w:rPr>
          <w:rFonts w:hint="eastAsia" w:ascii="仿宋" w:hAnsi="仿宋" w:eastAsia="仿宋" w:cs="仿宋"/>
          <w:sz w:val="28"/>
          <w:szCs w:val="28"/>
        </w:rPr>
        <w:t>，遵循公开透明、公平竞争、公正、诚信的原则进行。</w:t>
      </w:r>
    </w:p>
    <w:p w14:paraId="7C9281D3">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第四条 采购人开展集中采购，须委托省级政府采购中心或在财政部门登记备案的代理机构依法实施。</w:t>
      </w:r>
    </w:p>
    <w:p w14:paraId="77D3216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第五条 政府采购方式：</w:t>
      </w:r>
    </w:p>
    <w:p w14:paraId="3B4C7C6E">
      <w:pPr>
        <w:tabs>
          <w:tab w:val="left" w:pos="0"/>
        </w:tabs>
        <w:spacing w:line="580" w:lineRule="exact"/>
        <w:rPr>
          <w:rFonts w:hint="eastAsia" w:ascii="仿宋" w:hAnsi="仿宋" w:eastAsia="仿宋" w:cs="仿宋"/>
          <w:sz w:val="28"/>
          <w:szCs w:val="28"/>
        </w:rPr>
      </w:pPr>
      <w:r>
        <w:rPr>
          <w:rFonts w:hint="eastAsia" w:ascii="仿宋" w:hAnsi="仿宋" w:eastAsia="仿宋" w:cs="仿宋"/>
          <w:sz w:val="28"/>
          <w:szCs w:val="28"/>
        </w:rPr>
        <w:t xml:space="preserve">    （一）公开招标；</w:t>
      </w:r>
    </w:p>
    <w:p w14:paraId="49665834">
      <w:pPr>
        <w:tabs>
          <w:tab w:val="left" w:pos="0"/>
        </w:tabs>
        <w:spacing w:line="580" w:lineRule="exact"/>
        <w:rPr>
          <w:rFonts w:hint="eastAsia" w:ascii="仿宋" w:hAnsi="仿宋" w:eastAsia="仿宋" w:cs="仿宋"/>
          <w:sz w:val="28"/>
          <w:szCs w:val="28"/>
        </w:rPr>
      </w:pPr>
      <w:r>
        <w:rPr>
          <w:rFonts w:hint="eastAsia" w:ascii="仿宋" w:hAnsi="仿宋" w:eastAsia="仿宋" w:cs="仿宋"/>
          <w:sz w:val="28"/>
          <w:szCs w:val="28"/>
        </w:rPr>
        <w:t xml:space="preserve">    （二）邀请招标；</w:t>
      </w:r>
    </w:p>
    <w:p w14:paraId="6E046F76">
      <w:pPr>
        <w:tabs>
          <w:tab w:val="left" w:pos="0"/>
        </w:tabs>
        <w:spacing w:line="580" w:lineRule="exact"/>
        <w:rPr>
          <w:rFonts w:hint="eastAsia" w:ascii="仿宋" w:hAnsi="仿宋" w:eastAsia="仿宋" w:cs="仿宋"/>
          <w:sz w:val="28"/>
          <w:szCs w:val="28"/>
        </w:rPr>
      </w:pPr>
      <w:r>
        <w:rPr>
          <w:rFonts w:hint="eastAsia" w:ascii="仿宋" w:hAnsi="仿宋" w:eastAsia="仿宋" w:cs="仿宋"/>
          <w:sz w:val="28"/>
          <w:szCs w:val="28"/>
        </w:rPr>
        <w:t xml:space="preserve">    （三）竞争性谈判；</w:t>
      </w:r>
    </w:p>
    <w:p w14:paraId="31402EA1">
      <w:pPr>
        <w:tabs>
          <w:tab w:val="left" w:pos="0"/>
        </w:tabs>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（四）竞争性磋商</w:t>
      </w:r>
    </w:p>
    <w:p w14:paraId="5B00FD0D">
      <w:pPr>
        <w:tabs>
          <w:tab w:val="left" w:pos="0"/>
        </w:tabs>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（五）询价;</w:t>
      </w:r>
    </w:p>
    <w:p w14:paraId="16D748B1">
      <w:pPr>
        <w:tabs>
          <w:tab w:val="left" w:pos="0"/>
        </w:tabs>
        <w:spacing w:line="580" w:lineRule="exact"/>
        <w:rPr>
          <w:rFonts w:hint="eastAsia" w:ascii="仿宋" w:hAnsi="仿宋" w:eastAsia="仿宋" w:cs="仿宋"/>
          <w:sz w:val="28"/>
          <w:szCs w:val="28"/>
        </w:rPr>
      </w:pPr>
      <w:r>
        <w:rPr>
          <w:rFonts w:hint="eastAsia" w:ascii="仿宋" w:hAnsi="仿宋" w:eastAsia="仿宋" w:cs="仿宋"/>
          <w:sz w:val="28"/>
          <w:szCs w:val="28"/>
        </w:rPr>
        <w:t xml:space="preserve">    （六）单一来源采购；</w:t>
      </w:r>
    </w:p>
    <w:p w14:paraId="137BCFBB">
      <w:pPr>
        <w:tabs>
          <w:tab w:val="left" w:pos="0"/>
        </w:tabs>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（七）协议供货。</w:t>
      </w:r>
    </w:p>
    <w:p w14:paraId="72594B4D">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公开招标应作为集中采购的主要采购方式。在一个预算年度内，采用公开招标以外方式重复采购相同品目的货物或者服务、资金总额超过公开招标限额标准的，视为化整为零规避公开招标采购。</w:t>
      </w:r>
    </w:p>
    <w:p w14:paraId="46387981">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第六条 集中采购程序：</w:t>
      </w:r>
    </w:p>
    <w:p w14:paraId="5259877F">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（一）确定采购项目。</w:t>
      </w:r>
    </w:p>
    <w:p w14:paraId="5D7E79E9">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1、编制集中采购预算。</w:t>
      </w:r>
    </w:p>
    <w:p w14:paraId="2558F924">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政府采购预算是年度预算的组成部分，编制年度预算时同时编制政府采购预算，应当符合下列要求：</w:t>
      </w:r>
    </w:p>
    <w:p w14:paraId="2B920B2C">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（1）采购项目以及资金预算在部门预算中单独列出；</w:t>
      </w:r>
    </w:p>
    <w:p w14:paraId="3893C0B9">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（2）集中采购项目和分散采购项目按目录分别逐项列明项目名称、数量和金额；</w:t>
      </w:r>
      <w:bookmarkStart w:id="0" w:name="_Hlt414870802"/>
      <w:bookmarkEnd w:id="0"/>
      <w:bookmarkStart w:id="1" w:name="_Hlt414870804"/>
      <w:bookmarkEnd w:id="1"/>
      <w:bookmarkStart w:id="2" w:name="_Hlt414870801"/>
      <w:bookmarkEnd w:id="2"/>
      <w:bookmarkStart w:id="3" w:name="_Hlt414870805"/>
      <w:bookmarkEnd w:id="3"/>
      <w:bookmarkStart w:id="4" w:name="_Hlt414870806"/>
      <w:bookmarkEnd w:id="4"/>
    </w:p>
    <w:p w14:paraId="00032CDF">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2、编制采购实施计划。</w:t>
      </w:r>
    </w:p>
    <w:p w14:paraId="190932CF">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采购预算经相关会议批复后，采购人将批复交由设备管理科，设备管理科依据批复的采购预算编制政府采购实施计划，明确政府采购项目基本情况、组织形式、采购方式和采购时间等具体内容并须符合下列要求：</w:t>
      </w:r>
    </w:p>
    <w:p w14:paraId="60AAA424">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（1）项目和资金编入在政府采购预算内；</w:t>
      </w:r>
    </w:p>
    <w:p w14:paraId="5AE1C33A">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（2）相同品目的项目归并编列；</w:t>
      </w:r>
    </w:p>
    <w:p w14:paraId="02382006">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（3）对采购市场价格、规格及技术要求等相关事项需邀请相关类型的专家进行严格的市场调查或者论证，对论证结果需有专家签字的书面报告，技术内容的要求必须符合相关法律、法规。</w:t>
      </w:r>
    </w:p>
    <w:p w14:paraId="7610E06F">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（4）采购时间与采购程序办理所需时间需有效衔接。</w:t>
      </w:r>
    </w:p>
    <w:p w14:paraId="36C6A231">
      <w:pPr>
        <w:spacing w:line="360" w:lineRule="auto"/>
        <w:ind w:firstLine="480" w:firstLineChars="200"/>
        <w:rPr>
          <w:rFonts w:hint="eastAsia" w:ascii="宋体" w:hAnsi="宋体"/>
          <w:sz w:val="24"/>
        </w:rPr>
      </w:pPr>
    </w:p>
    <w:p w14:paraId="1D3791A5">
      <w:pPr>
        <w:spacing w:line="360" w:lineRule="auto"/>
        <w:ind w:firstLine="480" w:firstLineChars="200"/>
        <w:rPr>
          <w:rFonts w:hint="eastAsia" w:ascii="宋体" w:hAnsi="宋体"/>
          <w:sz w:val="24"/>
        </w:rPr>
      </w:pPr>
      <w:bookmarkStart w:id="5" w:name="_GoBack"/>
      <w:bookmarkEnd w:id="5"/>
    </w:p>
    <w:p w14:paraId="627C567D">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图1：</w:t>
      </w:r>
    </w:p>
    <w:p w14:paraId="3E9A5CBB">
      <w:pPr>
        <w:spacing w:line="360" w:lineRule="auto"/>
        <w:ind w:firstLine="640" w:firstLineChars="200"/>
        <w:rPr>
          <w:rFonts w:hint="eastAsia"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205740</wp:posOffset>
                </wp:positionH>
                <wp:positionV relativeFrom="paragraph">
                  <wp:posOffset>4644390</wp:posOffset>
                </wp:positionV>
                <wp:extent cx="1600200" cy="693420"/>
                <wp:effectExtent l="4445" t="4445" r="14605" b="6985"/>
                <wp:wrapNone/>
                <wp:docPr id="32" name="文本框 32"/>
                <wp:cNvGraphicFramePr/>
                <a:graphic xmlns:a="http://schemas.openxmlformats.org/drawingml/2006/main">
                  <a:graphicData uri="http://schemas.microsoft.com/office/word/2010/wordprocessingShape">
                    <wps:wsp>
                      <wps:cNvSpPr txBox="1"/>
                      <wps:spPr>
                        <a:xfrm>
                          <a:off x="0" y="0"/>
                          <a:ext cx="1600200"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362F79">
                            <w:pPr>
                              <w:rPr>
                                <w:rFonts w:ascii="宋体" w:hAnsi="宋体"/>
                                <w:sz w:val="18"/>
                                <w:szCs w:val="18"/>
                              </w:rPr>
                            </w:pPr>
                            <w:r>
                              <w:rPr>
                                <w:rFonts w:hint="eastAsia" w:ascii="宋体" w:hAnsi="宋体"/>
                                <w:sz w:val="18"/>
                                <w:szCs w:val="18"/>
                              </w:rPr>
                              <w:t>财务处设备科每年度根据政府采购预算安排报批政府采购计划表</w:t>
                            </w:r>
                          </w:p>
                        </w:txbxContent>
                      </wps:txbx>
                      <wps:bodyPr upright="1"/>
                    </wps:wsp>
                  </a:graphicData>
                </a:graphic>
              </wp:anchor>
            </w:drawing>
          </mc:Choice>
          <mc:Fallback>
            <w:pict>
              <v:shape id="_x0000_s1026" o:spid="_x0000_s1026" o:spt="202" type="#_x0000_t202" style="position:absolute;left:0pt;margin-left:16.2pt;margin-top:365.7pt;height:54.6pt;width:126pt;z-index:251662336;mso-width-relative:page;mso-height-relative:page;" fillcolor="#FFFFFF" filled="t" stroked="t" coordsize="21600,21600" o:gfxdata="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TgcbHYAAAACgEAAA8AAAAAAAAAAQAg&#10;AAAAIgAAAGRycy9kb3ducmV2LnhtbFBLAQIUABQAAAAIAIdO4kD2q0nvDgIAADgEAAAOAAAAAAAA&#10;AAEAIAAAACcBAABkcnMvZTJvRG9jLnhtbFBLBQYAAAAABgAGAFkBAACnBQAAAAA=&#10;">
                <v:fill on="t" focussize="0,0"/>
                <v:stroke color="#000000" joinstyle="miter"/>
                <v:imagedata o:title=""/>
                <o:lock v:ext="edit" aspectratio="f"/>
                <v:textbox>
                  <w:txbxContent>
                    <w:p w14:paraId="2E362F79">
                      <w:pPr>
                        <w:rPr>
                          <w:rFonts w:ascii="宋体" w:hAnsi="宋体"/>
                          <w:sz w:val="18"/>
                          <w:szCs w:val="18"/>
                        </w:rPr>
                      </w:pPr>
                      <w:r>
                        <w:rPr>
                          <w:rFonts w:hint="eastAsia" w:ascii="宋体" w:hAnsi="宋体"/>
                          <w:sz w:val="18"/>
                          <w:szCs w:val="18"/>
                        </w:rPr>
                        <w:t>财务处设备科每年度根据政府采购预算安排报批政府采购计划表</w:t>
                      </w:r>
                    </w:p>
                  </w:txbxContent>
                </v:textbox>
              </v:shape>
            </w:pict>
          </mc:Fallback>
        </mc:AlternateContent>
      </w:r>
      <w:r>
        <w:rPr>
          <w:rFonts w:ascii="仿宋_GB2312"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7531100</wp:posOffset>
                </wp:positionH>
                <wp:positionV relativeFrom="paragraph">
                  <wp:posOffset>1538605</wp:posOffset>
                </wp:positionV>
                <wp:extent cx="0" cy="297180"/>
                <wp:effectExtent l="38100" t="0" r="38100" b="7620"/>
                <wp:wrapNone/>
                <wp:docPr id="33" name="直接连接符 33"/>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93pt;margin-top:121.15pt;height:23.4pt;width:0pt;z-index:251661312;mso-width-relative:page;mso-height-relative:page;" filled="f" stroked="t" coordsize="21600,21600" o:gfxdata="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vdBVHaAAAADQEAAA8AAAAAAAAAAQAgAAAAIgAAAGRycy9kb3du&#10;cmV2LnhtbFBLAQIUABQAAAAIAIdO4kCr7zhs/QEAAOkDAAAOAAAAAAAAAAEAIAAAACkBAABkcnMv&#10;ZTJvRG9jLnhtbFBLBQYAAAAABgAGAFkBAACYBQAAAAA=&#10;">
                <v:fill on="f" focussize="0,0"/>
                <v:stroke color="#000000" joinstyle="round" endarrow="block"/>
                <v:imagedata o:title=""/>
                <o:lock v:ext="edit" aspectratio="f"/>
              </v:line>
            </w:pict>
          </mc:Fallback>
        </mc:AlternateContent>
      </w:r>
      <w:r>
        <w:rPr>
          <w:rFonts w:ascii="仿宋_GB2312" w:eastAsia="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7531100</wp:posOffset>
                </wp:positionH>
                <wp:positionV relativeFrom="paragraph">
                  <wp:posOffset>1538605</wp:posOffset>
                </wp:positionV>
                <wp:extent cx="0" cy="297180"/>
                <wp:effectExtent l="38100" t="0" r="38100" b="7620"/>
                <wp:wrapNone/>
                <wp:docPr id="34" name="直接连接符 34"/>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93pt;margin-top:121.15pt;height:23.4pt;width:0pt;z-index:251660288;mso-width-relative:page;mso-height-relative:page;" filled="f" stroked="t" coordsize="21600,21600" o:gfxdata="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vdBVHaAAAADQEAAA8AAAAAAAAAAQAgAAAAIgAAAGRycy9kb3du&#10;cmV2LnhtbFBLAQIUABQAAAAIAIdO4kCLvzyl/QEAAOkDAAAOAAAAAAAAAAEAIAAAACkBAABkcnMv&#10;ZTJvRG9jLnhtbFBLBQYAAAAABgAGAFkBAACYBQAAAAA=&#10;">
                <v:fill on="f" focussize="0,0"/>
                <v:stroke color="#000000" joinstyle="round" endarrow="block"/>
                <v:imagedata o:title=""/>
                <o:lock v:ext="edit" aspectratio="f"/>
              </v:line>
            </w:pict>
          </mc:Fallback>
        </mc:AlternateContent>
      </w:r>
      <w:r>
        <w:rPr>
          <w:rFonts w:ascii="仿宋_GB2312" w:eastAsia="仿宋_GB2312"/>
          <w:sz w:val="32"/>
          <w:szCs w:val="32"/>
        </w:rPr>
        <mc:AlternateContent>
          <mc:Choice Requires="wpc">
            <w:drawing>
              <wp:inline distT="0" distB="0" distL="114300" distR="114300">
                <wp:extent cx="5863590" cy="5250180"/>
                <wp:effectExtent l="0" t="4445" r="3175" b="22225"/>
                <wp:docPr id="31" name="画布 3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文本框 2"/>
                        <wps:cNvSpPr txBox="1"/>
                        <wps:spPr>
                          <a:xfrm>
                            <a:off x="960120" y="2934970"/>
                            <a:ext cx="1600200" cy="3276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0931B7">
                              <w:pPr>
                                <w:rPr>
                                  <w:rFonts w:ascii="宋体" w:hAnsi="宋体"/>
                                  <w:sz w:val="18"/>
                                  <w:szCs w:val="18"/>
                                </w:rPr>
                              </w:pPr>
                              <w:r>
                                <w:rPr>
                                  <w:rFonts w:hint="eastAsia" w:ascii="宋体" w:hAnsi="宋体"/>
                                  <w:sz w:val="18"/>
                                  <w:szCs w:val="18"/>
                                </w:rPr>
                                <w:t>经会议通过的专项项目</w:t>
                              </w:r>
                            </w:p>
                          </w:txbxContent>
                        </wps:txbx>
                        <wps:bodyPr upright="1"/>
                      </wps:wsp>
                      <wpg:wgp>
                        <wpg:cNvPr id="29" name="组合 29"/>
                        <wpg:cNvGrpSpPr/>
                        <wpg:grpSpPr>
                          <a:xfrm>
                            <a:off x="617220" y="0"/>
                            <a:ext cx="4411980" cy="5250180"/>
                            <a:chOff x="3210" y="775"/>
                            <a:chExt cx="6948" cy="8268"/>
                          </a:xfrm>
                        </wpg:grpSpPr>
                        <wpg:grpSp>
                          <wpg:cNvPr id="15" name="组合 15"/>
                          <wpg:cNvGrpSpPr/>
                          <wpg:grpSpPr>
                            <a:xfrm>
                              <a:off x="4038" y="775"/>
                              <a:ext cx="3600" cy="4056"/>
                              <a:chOff x="4038" y="775"/>
                              <a:chExt cx="3600" cy="4056"/>
                            </a:xfrm>
                          </wpg:grpSpPr>
                          <wpg:grpSp>
                            <wpg:cNvPr id="6" name="组合 6"/>
                            <wpg:cNvGrpSpPr/>
                            <wpg:grpSpPr>
                              <a:xfrm>
                                <a:off x="4398" y="775"/>
                                <a:ext cx="2880" cy="936"/>
                                <a:chOff x="5190" y="775"/>
                                <a:chExt cx="2880" cy="936"/>
                              </a:xfrm>
                            </wpg:grpSpPr>
                            <wps:wsp>
                              <wps:cNvPr id="4" name="矩形 4"/>
                              <wps:cNvSpPr/>
                              <wps:spPr>
                                <a:xfrm>
                                  <a:off x="5190" y="775"/>
                                  <a:ext cx="2880"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23A1F1">
                                    <w:pPr>
                                      <w:rPr>
                                        <w:rFonts w:hint="eastAsia" w:ascii="宋体" w:hAnsi="宋体"/>
                                        <w:sz w:val="18"/>
                                        <w:szCs w:val="18"/>
                                      </w:rPr>
                                    </w:pPr>
                                    <w:r>
                                      <w:rPr>
                                        <w:rFonts w:hint="eastAsia" w:ascii="宋体" w:hAnsi="宋体"/>
                                        <w:sz w:val="18"/>
                                        <w:szCs w:val="18"/>
                                      </w:rPr>
                                      <w:t>实验室及专项项目购置流程</w:t>
                                    </w:r>
                                  </w:p>
                                </w:txbxContent>
                              </wps:txbx>
                              <wps:bodyPr upright="1"/>
                            </wps:wsp>
                            <wps:wsp>
                              <wps:cNvPr id="5" name="直接连接符 5"/>
                              <wps:cNvCnPr/>
                              <wps:spPr>
                                <a:xfrm>
                                  <a:off x="6630" y="1243"/>
                                  <a:ext cx="0" cy="468"/>
                                </a:xfrm>
                                <a:prstGeom prst="line">
                                  <a:avLst/>
                                </a:prstGeom>
                                <a:ln w="9525" cap="flat" cmpd="sng">
                                  <a:solidFill>
                                    <a:srgbClr val="000000"/>
                                  </a:solidFill>
                                  <a:prstDash val="solid"/>
                                  <a:headEnd type="none" w="med" len="med"/>
                                  <a:tailEnd type="triangle" w="med" len="med"/>
                                </a:ln>
                              </wps:spPr>
                              <wps:bodyPr upright="1"/>
                            </wps:wsp>
                          </wpg:grpSp>
                          <wpg:grpSp>
                            <wpg:cNvPr id="14" name="组合 14"/>
                            <wpg:cNvGrpSpPr/>
                            <wpg:grpSpPr>
                              <a:xfrm>
                                <a:off x="4038" y="1711"/>
                                <a:ext cx="3600" cy="3120"/>
                                <a:chOff x="4830" y="1711"/>
                                <a:chExt cx="3600" cy="3120"/>
                              </a:xfrm>
                            </wpg:grpSpPr>
                            <wps:wsp>
                              <wps:cNvPr id="7" name="矩形 7"/>
                              <wps:cNvSpPr/>
                              <wps:spPr>
                                <a:xfrm>
                                  <a:off x="4830" y="1711"/>
                                  <a:ext cx="360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6FF04E">
                                    <w:pPr>
                                      <w:jc w:val="center"/>
                                      <w:rPr>
                                        <w:rFonts w:hint="eastAsia" w:ascii="宋体" w:hAnsi="宋体"/>
                                        <w:sz w:val="18"/>
                                        <w:szCs w:val="18"/>
                                      </w:rPr>
                                    </w:pPr>
                                    <w:r>
                                      <w:rPr>
                                        <w:rFonts w:hint="eastAsia" w:ascii="宋体" w:hAnsi="宋体"/>
                                        <w:sz w:val="18"/>
                                        <w:szCs w:val="18"/>
                                      </w:rPr>
                                      <w:t>拟定项目需求符合教学需求</w:t>
                                    </w:r>
                                  </w:p>
                                  <w:p w14:paraId="55CF8929">
                                    <w:pPr>
                                      <w:jc w:val="center"/>
                                      <w:rPr>
                                        <w:rFonts w:hint="eastAsia" w:ascii="宋体" w:hAnsi="宋体"/>
                                        <w:sz w:val="18"/>
                                        <w:szCs w:val="18"/>
                                      </w:rPr>
                                    </w:pPr>
                                    <w:r>
                                      <w:rPr>
                                        <w:rFonts w:hint="eastAsia" w:ascii="宋体" w:hAnsi="宋体"/>
                                        <w:sz w:val="18"/>
                                        <w:szCs w:val="18"/>
                                      </w:rPr>
                                      <w:t>将项目清单等报教务处审批通过</w:t>
                                    </w:r>
                                  </w:p>
                                </w:txbxContent>
                              </wps:txbx>
                              <wps:bodyPr upright="1"/>
                            </wps:wsp>
                            <wps:wsp>
                              <wps:cNvPr id="8" name="文本框 8"/>
                              <wps:cNvSpPr txBox="1"/>
                              <wps:spPr>
                                <a:xfrm>
                                  <a:off x="5370" y="2959"/>
                                  <a:ext cx="25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0792C6">
                                    <w:pPr>
                                      <w:jc w:val="center"/>
                                      <w:rPr>
                                        <w:rFonts w:hint="eastAsia" w:ascii="宋体" w:hAnsi="宋体"/>
                                        <w:sz w:val="18"/>
                                        <w:szCs w:val="18"/>
                                      </w:rPr>
                                    </w:pPr>
                                    <w:r>
                                      <w:rPr>
                                        <w:rFonts w:hint="eastAsia" w:ascii="宋体" w:hAnsi="宋体"/>
                                        <w:sz w:val="18"/>
                                        <w:szCs w:val="18"/>
                                      </w:rPr>
                                      <w:t>报财务处汇总</w:t>
                                    </w:r>
                                  </w:p>
                                </w:txbxContent>
                              </wps:txbx>
                              <wps:bodyPr upright="1"/>
                            </wps:wsp>
                            <wps:wsp>
                              <wps:cNvPr id="9" name="直接连接符 9"/>
                              <wps:cNvCnPr/>
                              <wps:spPr>
                                <a:xfrm>
                                  <a:off x="6630" y="2491"/>
                                  <a:ext cx="1" cy="468"/>
                                </a:xfrm>
                                <a:prstGeom prst="line">
                                  <a:avLst/>
                                </a:prstGeom>
                                <a:ln w="9525" cap="flat" cmpd="sng">
                                  <a:solidFill>
                                    <a:srgbClr val="000000"/>
                                  </a:solidFill>
                                  <a:prstDash val="solid"/>
                                  <a:headEnd type="none" w="med" len="med"/>
                                  <a:tailEnd type="triangle" w="med" len="med"/>
                                </a:ln>
                              </wps:spPr>
                              <wps:bodyPr upright="1"/>
                            </wps:wsp>
                            <wpg:grpSp>
                              <wpg:cNvPr id="12" name="组合 12"/>
                              <wpg:cNvGrpSpPr/>
                              <wpg:grpSpPr>
                                <a:xfrm>
                                  <a:off x="5208" y="3895"/>
                                  <a:ext cx="2880" cy="936"/>
                                  <a:chOff x="5190" y="775"/>
                                  <a:chExt cx="2880" cy="936"/>
                                </a:xfrm>
                              </wpg:grpSpPr>
                              <wps:wsp>
                                <wps:cNvPr id="10" name="矩形 10"/>
                                <wps:cNvSpPr/>
                                <wps:spPr>
                                  <a:xfrm>
                                    <a:off x="5190" y="775"/>
                                    <a:ext cx="2880"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1888E5">
                                      <w:pPr>
                                        <w:rPr>
                                          <w:rFonts w:ascii="宋体" w:hAnsi="宋体"/>
                                          <w:sz w:val="18"/>
                                          <w:szCs w:val="18"/>
                                        </w:rPr>
                                      </w:pPr>
                                      <w:r>
                                        <w:rPr>
                                          <w:rFonts w:hint="eastAsia" w:ascii="宋体" w:hAnsi="宋体"/>
                                          <w:sz w:val="18"/>
                                          <w:szCs w:val="18"/>
                                        </w:rPr>
                                        <w:t>提交院长办公会议定</w:t>
                                      </w:r>
                                    </w:p>
                                    <w:p w14:paraId="2D565ECA">
                                      <w:pPr>
                                        <w:rPr>
                                          <w:sz w:val="18"/>
                                          <w:szCs w:val="18"/>
                                        </w:rPr>
                                      </w:pPr>
                                    </w:p>
                                  </w:txbxContent>
                                </wps:txbx>
                                <wps:bodyPr upright="1"/>
                              </wps:wsp>
                              <wps:wsp>
                                <wps:cNvPr id="11" name="直接连接符 11"/>
                                <wps:cNvCnPr/>
                                <wps:spPr>
                                  <a:xfrm>
                                    <a:off x="6630" y="1243"/>
                                    <a:ext cx="0" cy="468"/>
                                  </a:xfrm>
                                  <a:prstGeom prst="line">
                                    <a:avLst/>
                                  </a:prstGeom>
                                  <a:ln w="9525" cap="flat" cmpd="sng">
                                    <a:solidFill>
                                      <a:srgbClr val="000000"/>
                                    </a:solidFill>
                                    <a:prstDash val="solid"/>
                                    <a:headEnd type="none" w="med" len="med"/>
                                    <a:tailEnd type="triangle" w="med" len="med"/>
                                  </a:ln>
                                </wps:spPr>
                                <wps:bodyPr upright="1"/>
                              </wps:wsp>
                            </wpg:grpSp>
                            <wps:wsp>
                              <wps:cNvPr id="13" name="直接连接符 13"/>
                              <wps:cNvCnPr/>
                              <wps:spPr>
                                <a:xfrm>
                                  <a:off x="6630" y="3427"/>
                                  <a:ext cx="1" cy="468"/>
                                </a:xfrm>
                                <a:prstGeom prst="line">
                                  <a:avLst/>
                                </a:prstGeom>
                                <a:ln w="9525" cap="flat" cmpd="sng">
                                  <a:solidFill>
                                    <a:srgbClr val="000000"/>
                                  </a:solidFill>
                                  <a:prstDash val="solid"/>
                                  <a:headEnd type="none" w="med" len="med"/>
                                  <a:tailEnd type="triangle" w="med" len="med"/>
                                </a:ln>
                              </wps:spPr>
                              <wps:bodyPr upright="1"/>
                            </wps:wsp>
                          </wpg:grpSp>
                        </wpg:grpSp>
                        <wpg:grpSp>
                          <wpg:cNvPr id="19" name="组合 19"/>
                          <wpg:cNvGrpSpPr/>
                          <wpg:grpSpPr>
                            <a:xfrm>
                              <a:off x="5010" y="4831"/>
                              <a:ext cx="5148" cy="468"/>
                              <a:chOff x="4470" y="4831"/>
                              <a:chExt cx="4500" cy="468"/>
                            </a:xfrm>
                          </wpg:grpSpPr>
                          <wps:wsp>
                            <wps:cNvPr id="16" name="直接连接符 16"/>
                            <wps:cNvCnPr/>
                            <wps:spPr>
                              <a:xfrm>
                                <a:off x="4470" y="4831"/>
                                <a:ext cx="4500" cy="1"/>
                              </a:xfrm>
                              <a:prstGeom prst="line">
                                <a:avLst/>
                              </a:prstGeom>
                              <a:ln w="9525" cap="flat" cmpd="sng">
                                <a:solidFill>
                                  <a:srgbClr val="000000"/>
                                </a:solidFill>
                                <a:prstDash val="solid"/>
                                <a:headEnd type="none" w="med" len="med"/>
                                <a:tailEnd type="none" w="med" len="med"/>
                              </a:ln>
                            </wps:spPr>
                            <wps:bodyPr upright="1"/>
                          </wps:wsp>
                          <wps:wsp>
                            <wps:cNvPr id="17" name="直接连接符 17"/>
                            <wps:cNvCnPr/>
                            <wps:spPr>
                              <a:xfrm>
                                <a:off x="4470" y="4831"/>
                                <a:ext cx="1" cy="468"/>
                              </a:xfrm>
                              <a:prstGeom prst="line">
                                <a:avLst/>
                              </a:prstGeom>
                              <a:ln w="9525" cap="flat" cmpd="sng">
                                <a:solidFill>
                                  <a:srgbClr val="000000"/>
                                </a:solidFill>
                                <a:prstDash val="solid"/>
                                <a:headEnd type="none" w="med" len="med"/>
                                <a:tailEnd type="triangle" w="med" len="med"/>
                              </a:ln>
                            </wps:spPr>
                            <wps:bodyPr upright="1"/>
                          </wps:wsp>
                          <wps:wsp>
                            <wps:cNvPr id="18" name="直接连接符 18"/>
                            <wps:cNvCnPr/>
                            <wps:spPr>
                              <a:xfrm>
                                <a:off x="8969" y="4831"/>
                                <a:ext cx="1" cy="468"/>
                              </a:xfrm>
                              <a:prstGeom prst="line">
                                <a:avLst/>
                              </a:prstGeom>
                              <a:ln w="9525" cap="flat" cmpd="sng">
                                <a:solidFill>
                                  <a:srgbClr val="000000"/>
                                </a:solidFill>
                                <a:prstDash val="solid"/>
                                <a:headEnd type="none" w="med" len="med"/>
                                <a:tailEnd type="triangle" w="med" len="med"/>
                              </a:ln>
                            </wps:spPr>
                            <wps:bodyPr upright="1"/>
                          </wps:wsp>
                        </wpg:grpSp>
                        <wpg:grpSp>
                          <wpg:cNvPr id="28" name="组合 28"/>
                          <wpg:cNvGrpSpPr/>
                          <wpg:grpSpPr>
                            <a:xfrm>
                              <a:off x="3210" y="5923"/>
                              <a:ext cx="6120" cy="3120"/>
                              <a:chOff x="3210" y="5923"/>
                              <a:chExt cx="6120" cy="3120"/>
                            </a:xfrm>
                          </wpg:grpSpPr>
                          <wps:wsp>
                            <wps:cNvPr id="20" name="文本框 20"/>
                            <wps:cNvSpPr txBox="1"/>
                            <wps:spPr>
                              <a:xfrm>
                                <a:off x="3750" y="6455"/>
                                <a:ext cx="2520" cy="5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7D0AB6">
                                  <w:pPr>
                                    <w:jc w:val="center"/>
                                    <w:rPr>
                                      <w:rFonts w:ascii="宋体" w:hAnsi="宋体"/>
                                      <w:sz w:val="18"/>
                                      <w:szCs w:val="18"/>
                                    </w:rPr>
                                  </w:pPr>
                                  <w:r>
                                    <w:rPr>
                                      <w:rFonts w:hint="eastAsia" w:ascii="宋体" w:hAnsi="宋体"/>
                                      <w:sz w:val="18"/>
                                      <w:szCs w:val="18"/>
                                    </w:rPr>
                                    <w:t>列入政府采购预算</w:t>
                                  </w:r>
                                </w:p>
                              </w:txbxContent>
                            </wps:txbx>
                            <wps:bodyPr upright="1"/>
                          </wps:wsp>
                          <wps:wsp>
                            <wps:cNvPr id="21" name="直接连接符 21"/>
                            <wps:cNvCnPr/>
                            <wps:spPr>
                              <a:xfrm>
                                <a:off x="5009" y="5923"/>
                                <a:ext cx="1" cy="468"/>
                              </a:xfrm>
                              <a:prstGeom prst="line">
                                <a:avLst/>
                              </a:prstGeom>
                              <a:ln w="9525" cap="flat" cmpd="sng">
                                <a:solidFill>
                                  <a:srgbClr val="000000"/>
                                </a:solidFill>
                                <a:prstDash val="solid"/>
                                <a:headEnd type="none" w="med" len="med"/>
                                <a:tailEnd type="triangle" w="med" len="med"/>
                              </a:ln>
                            </wps:spPr>
                            <wps:bodyPr upright="1"/>
                          </wps:wsp>
                          <wpg:grpSp>
                            <wpg:cNvPr id="25" name="组合 25"/>
                            <wpg:cNvGrpSpPr/>
                            <wpg:grpSpPr>
                              <a:xfrm>
                                <a:off x="3210" y="7483"/>
                                <a:ext cx="4500" cy="468"/>
                                <a:chOff x="4470" y="4831"/>
                                <a:chExt cx="4500" cy="468"/>
                              </a:xfrm>
                            </wpg:grpSpPr>
                            <wps:wsp>
                              <wps:cNvPr id="22" name="直接连接符 22"/>
                              <wps:cNvCnPr/>
                              <wps:spPr>
                                <a:xfrm>
                                  <a:off x="4470" y="4831"/>
                                  <a:ext cx="4500" cy="1"/>
                                </a:xfrm>
                                <a:prstGeom prst="line">
                                  <a:avLst/>
                                </a:prstGeom>
                                <a:ln w="9525" cap="flat" cmpd="sng">
                                  <a:solidFill>
                                    <a:srgbClr val="000000"/>
                                  </a:solidFill>
                                  <a:prstDash val="solid"/>
                                  <a:headEnd type="none" w="med" len="med"/>
                                  <a:tailEnd type="none" w="med" len="med"/>
                                </a:ln>
                              </wps:spPr>
                              <wps:bodyPr upright="1"/>
                            </wps:wsp>
                            <wps:wsp>
                              <wps:cNvPr id="23" name="直接连接符 23"/>
                              <wps:cNvCnPr/>
                              <wps:spPr>
                                <a:xfrm>
                                  <a:off x="4470" y="4831"/>
                                  <a:ext cx="1" cy="468"/>
                                </a:xfrm>
                                <a:prstGeom prst="line">
                                  <a:avLst/>
                                </a:prstGeom>
                                <a:ln w="9525" cap="flat" cmpd="sng">
                                  <a:solidFill>
                                    <a:srgbClr val="000000"/>
                                  </a:solidFill>
                                  <a:prstDash val="solid"/>
                                  <a:headEnd type="none" w="med" len="med"/>
                                  <a:tailEnd type="triangle" w="med" len="med"/>
                                </a:ln>
                              </wps:spPr>
                              <wps:bodyPr upright="1"/>
                            </wps:wsp>
                            <wps:wsp>
                              <wps:cNvPr id="24" name="直接连接符 24"/>
                              <wps:cNvCnPr/>
                              <wps:spPr>
                                <a:xfrm>
                                  <a:off x="8969" y="4831"/>
                                  <a:ext cx="1" cy="468"/>
                                </a:xfrm>
                                <a:prstGeom prst="line">
                                  <a:avLst/>
                                </a:prstGeom>
                                <a:ln w="9525" cap="flat" cmpd="sng">
                                  <a:solidFill>
                                    <a:srgbClr val="000000"/>
                                  </a:solidFill>
                                  <a:prstDash val="solid"/>
                                  <a:headEnd type="none" w="med" len="med"/>
                                  <a:tailEnd type="triangle" w="med" len="med"/>
                                </a:ln>
                              </wps:spPr>
                              <wps:bodyPr upright="1"/>
                            </wps:wsp>
                          </wpg:grpSp>
                          <wps:wsp>
                            <wps:cNvPr id="26" name="直接连接符 26"/>
                            <wps:cNvCnPr/>
                            <wps:spPr>
                              <a:xfrm>
                                <a:off x="5009" y="7015"/>
                                <a:ext cx="1" cy="468"/>
                              </a:xfrm>
                              <a:prstGeom prst="line">
                                <a:avLst/>
                              </a:prstGeom>
                              <a:ln w="9525" cap="flat" cmpd="sng">
                                <a:solidFill>
                                  <a:srgbClr val="000000"/>
                                </a:solidFill>
                                <a:prstDash val="solid"/>
                                <a:headEnd type="none" w="med" len="med"/>
                                <a:tailEnd type="triangle" w="med" len="med"/>
                              </a:ln>
                            </wps:spPr>
                            <wps:bodyPr upright="1"/>
                          </wps:wsp>
                          <wps:wsp>
                            <wps:cNvPr id="27" name="文本框 27"/>
                            <wps:cNvSpPr txBox="1"/>
                            <wps:spPr>
                              <a:xfrm>
                                <a:off x="6450" y="8015"/>
                                <a:ext cx="2880" cy="102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A6ECC8">
                                  <w:pPr>
                                    <w:rPr>
                                      <w:rFonts w:ascii="宋体" w:hAnsi="宋体"/>
                                      <w:sz w:val="18"/>
                                      <w:szCs w:val="18"/>
                                    </w:rPr>
                                  </w:pPr>
                                  <w:r>
                                    <w:rPr>
                                      <w:rFonts w:hint="eastAsia" w:ascii="宋体" w:hAnsi="宋体"/>
                                      <w:sz w:val="18"/>
                                      <w:szCs w:val="18"/>
                                    </w:rPr>
                                    <w:t>采购单位需提供项目清单及项目技术要求、参数内容报相关专家审定后进行招标</w:t>
                                  </w:r>
                                </w:p>
                                <w:p w14:paraId="233A51E8">
                                  <w:pPr>
                                    <w:rPr>
                                      <w:rFonts w:ascii="宋体" w:hAnsi="宋体"/>
                                      <w:sz w:val="18"/>
                                      <w:szCs w:val="18"/>
                                    </w:rPr>
                                  </w:pPr>
                                </w:p>
                              </w:txbxContent>
                            </wps:txbx>
                            <wps:bodyPr upright="1"/>
                          </wps:wsp>
                        </wpg:grpSp>
                      </wpg:wgp>
                      <wps:wsp>
                        <wps:cNvPr id="30" name="文本框 30"/>
                        <wps:cNvSpPr txBox="1"/>
                        <wps:spPr>
                          <a:xfrm>
                            <a:off x="4222750" y="2907030"/>
                            <a:ext cx="1554480" cy="525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780871">
                              <w:pPr>
                                <w:rPr>
                                  <w:rFonts w:ascii="仿宋_GB2312" w:eastAsia="仿宋_GB2312"/>
                                  <w:sz w:val="18"/>
                                  <w:szCs w:val="18"/>
                                </w:rPr>
                              </w:pPr>
                              <w:r>
                                <w:rPr>
                                  <w:rFonts w:hint="eastAsia" w:ascii="宋体" w:hAnsi="宋体"/>
                                  <w:sz w:val="18"/>
                                  <w:szCs w:val="18"/>
                                </w:rPr>
                                <w:t>未通过的等待资金和相关会议再议定</w:t>
                              </w:r>
                            </w:p>
                            <w:p w14:paraId="74D6834A">
                              <w:pPr>
                                <w:rPr>
                                  <w:rFonts w:ascii="宋体" w:hAnsi="宋体"/>
                                  <w:sz w:val="18"/>
                                  <w:szCs w:val="18"/>
                                </w:rPr>
                              </w:pPr>
                            </w:p>
                          </w:txbxContent>
                        </wps:txbx>
                        <wps:bodyPr upright="1"/>
                      </wps:wsp>
                    </wpc:wpc>
                  </a:graphicData>
                </a:graphic>
              </wp:inline>
            </w:drawing>
          </mc:Choice>
          <mc:Fallback>
            <w:pict>
              <v:group id="_x0000_s1026" o:spid="_x0000_s1026" o:spt="203" style="height:413.4pt;width:461.7pt;" coordsize="5863590,5250180" editas="canvas" o:gfxdata="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">
                <o:lock v:ext="edit" aspectratio="f"/>
                <v:shape id="_x0000_s1026" o:spid="_x0000_s1026" style="position:absolute;left:0;top:0;height:5250180;width:5863590;" filled="f" stroked="f" coordsize="21600,21600" o:gfxdata="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">
                  <v:fill on="f" focussize="0,0"/>
                  <v:stroke on="f"/>
                  <v:imagedata o:title=""/>
                  <o:lock v:ext="edit" aspectratio="t"/>
                </v:shape>
                <v:shape id="_x0000_s1026" o:spid="_x0000_s1026" o:spt="202" type="#_x0000_t202" style="position:absolute;left:960120;top:2934970;height:327660;width:1600200;" fillcolor="#FFFFFF" filled="t" stroked="t" coordsize="21600,21600" o:gfxdata="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jUU1QAAAAUBAAAPAAAAAAAA&#10;AAEAIAAAACIAAABkcnMvZG93bnJldi54bWxQSwECFAAUAAAACACHTuJAR/T0gBUCAABBBAAADgAA&#10;AAAAAAABACAAAAAkAQAAZHJzL2Uyb0RvYy54bWxQSwUGAAAAAAYABgBZAQAAqwUAAAAA&#10;">
                  <v:fill on="t" focussize="0,0"/>
                  <v:stroke color="#000000" joinstyle="miter"/>
                  <v:imagedata o:title=""/>
                  <o:lock v:ext="edit" aspectratio="f"/>
                  <v:textbox>
                    <w:txbxContent>
                      <w:p w14:paraId="730931B7">
                        <w:pPr>
                          <w:rPr>
                            <w:rFonts w:ascii="宋体" w:hAnsi="宋体"/>
                            <w:sz w:val="18"/>
                            <w:szCs w:val="18"/>
                          </w:rPr>
                        </w:pPr>
                        <w:r>
                          <w:rPr>
                            <w:rFonts w:hint="eastAsia" w:ascii="宋体" w:hAnsi="宋体"/>
                            <w:sz w:val="18"/>
                            <w:szCs w:val="18"/>
                          </w:rPr>
                          <w:t>经会议通过的专项项目</w:t>
                        </w:r>
                      </w:p>
                    </w:txbxContent>
                  </v:textbox>
                </v:shape>
                <v:group id="_x0000_s1026" o:spid="_x0000_s1026" o:spt="203" style="position:absolute;left:617220;top:0;height:5250180;width:4411980;" coordorigin="3210,775" coordsize="6948,8268" o:gfxdata="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">
                  <o:lock v:ext="edit" aspectratio="f"/>
                  <v:group id="_x0000_s1026" o:spid="_x0000_s1026" o:spt="203" style="position:absolute;left:4038;top:775;height:4056;width:3600;" coordorigin="4038,775" coordsize="3600,4056"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4398;top:775;height:936;width:2880;" coordorigin="5190,775" coordsize="2880,936"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rect id="_x0000_s1026" o:spid="_x0000_s1026" o:spt="1" style="position:absolute;left:5190;top:775;height:467;width:2880;"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623A1F1">
                              <w:pPr>
                                <w:rPr>
                                  <w:rFonts w:hint="eastAsia" w:ascii="宋体" w:hAnsi="宋体"/>
                                  <w:sz w:val="18"/>
                                  <w:szCs w:val="18"/>
                                </w:rPr>
                              </w:pPr>
                              <w:r>
                                <w:rPr>
                                  <w:rFonts w:hint="eastAsia" w:ascii="宋体" w:hAnsi="宋体"/>
                                  <w:sz w:val="18"/>
                                  <w:szCs w:val="18"/>
                                </w:rPr>
                                <w:t>实验室及专项项目购置流程</w:t>
                              </w:r>
                            </w:p>
                          </w:txbxContent>
                        </v:textbox>
                      </v:rect>
                      <v:line id="_x0000_s1026" o:spid="_x0000_s1026" o:spt="20" style="position:absolute;left:6630;top:1243;height:468;width:0;" filled="f" stroked="t" coordsize="21600,21600" o:gfxdata="UEsDBAoAAAAAAIdO4kAAAAAAAAAAAAAAAAAEAAAAZHJzL1BLAwQUAAAACACHTuJABnn+Hb4AAADa&#10;AAAADwAAAGRycy9kb3ducmV2LnhtbEWPT2vCQBTE74V+h+UVvNVNBCW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nn+H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group id="_x0000_s1026" o:spid="_x0000_s1026" o:spt="203" style="position:absolute;left:4038;top:1711;height:3120;width:3600;" coordorigin="4830,1711" coordsize="3600,3120"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rect id="_x0000_s1026" o:spid="_x0000_s1026" o:spt="1" style="position:absolute;left:4830;top:1711;height:780;width:3600;" fillcolor="#FFFFFF" filled="t" stroked="t" coordsize="21600,21600" o:gfxdata="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xaGm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96FF04E">
                              <w:pPr>
                                <w:jc w:val="center"/>
                                <w:rPr>
                                  <w:rFonts w:hint="eastAsia" w:ascii="宋体" w:hAnsi="宋体"/>
                                  <w:sz w:val="18"/>
                                  <w:szCs w:val="18"/>
                                </w:rPr>
                              </w:pPr>
                              <w:r>
                                <w:rPr>
                                  <w:rFonts w:hint="eastAsia" w:ascii="宋体" w:hAnsi="宋体"/>
                                  <w:sz w:val="18"/>
                                  <w:szCs w:val="18"/>
                                </w:rPr>
                                <w:t>拟定项目需求符合教学需求</w:t>
                              </w:r>
                            </w:p>
                            <w:p w14:paraId="55CF8929">
                              <w:pPr>
                                <w:jc w:val="center"/>
                                <w:rPr>
                                  <w:rFonts w:hint="eastAsia" w:ascii="宋体" w:hAnsi="宋体"/>
                                  <w:sz w:val="18"/>
                                  <w:szCs w:val="18"/>
                                </w:rPr>
                              </w:pPr>
                              <w:r>
                                <w:rPr>
                                  <w:rFonts w:hint="eastAsia" w:ascii="宋体" w:hAnsi="宋体"/>
                                  <w:sz w:val="18"/>
                                  <w:szCs w:val="18"/>
                                </w:rPr>
                                <w:t>将项目清单等报教务处审批通过</w:t>
                              </w:r>
                            </w:p>
                          </w:txbxContent>
                        </v:textbox>
                      </v:rect>
                      <v:shape id="_x0000_s1026" o:spid="_x0000_s1026" o:spt="202" type="#_x0000_t202" style="position:absolute;left:5370;top:2959;height:468;width:2520;" fillcolor="#FFFFFF" filled="t" stroked="t" coordsize="21600,21600" o:gfxdata="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7t26e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40792C6">
                              <w:pPr>
                                <w:jc w:val="center"/>
                                <w:rPr>
                                  <w:rFonts w:hint="eastAsia" w:ascii="宋体" w:hAnsi="宋体"/>
                                  <w:sz w:val="18"/>
                                  <w:szCs w:val="18"/>
                                </w:rPr>
                              </w:pPr>
                              <w:r>
                                <w:rPr>
                                  <w:rFonts w:hint="eastAsia" w:ascii="宋体" w:hAnsi="宋体"/>
                                  <w:sz w:val="18"/>
                                  <w:szCs w:val="18"/>
                                </w:rPr>
                                <w:t>报财务处汇总</w:t>
                              </w:r>
                            </w:p>
                          </w:txbxContent>
                        </v:textbox>
                      </v:shape>
                      <v:line id="_x0000_s1026" o:spid="_x0000_s1026" o:spt="20" style="position:absolute;left:6630;top:2491;height:468;width:1;" filled="f" stroked="t" coordsize="21600,21600" o:gfxdata="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T0GL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id="_x0000_s1026" o:spid="_x0000_s1026" o:spt="203" style="position:absolute;left:5208;top:3895;height:936;width:2880;" coordorigin="5190,775" coordsize="2880,936"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rect id="_x0000_s1026" o:spid="_x0000_s1026" o:spt="1" style="position:absolute;left:5190;top:775;height:467;width:2880;"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81888E5">
                                <w:pPr>
                                  <w:rPr>
                                    <w:rFonts w:ascii="宋体" w:hAnsi="宋体"/>
                                    <w:sz w:val="18"/>
                                    <w:szCs w:val="18"/>
                                  </w:rPr>
                                </w:pPr>
                                <w:r>
                                  <w:rPr>
                                    <w:rFonts w:hint="eastAsia" w:ascii="宋体" w:hAnsi="宋体"/>
                                    <w:sz w:val="18"/>
                                    <w:szCs w:val="18"/>
                                  </w:rPr>
                                  <w:t>提交院长办公会议定</w:t>
                                </w:r>
                              </w:p>
                              <w:p w14:paraId="2D565ECA">
                                <w:pPr>
                                  <w:rPr>
                                    <w:sz w:val="18"/>
                                    <w:szCs w:val="18"/>
                                  </w:rPr>
                                </w:pPr>
                              </w:p>
                            </w:txbxContent>
                          </v:textbox>
                        </v:rect>
                        <v:line id="_x0000_s1026" o:spid="_x0000_s1026" o:spt="20" style="position:absolute;left:6630;top:1243;height:468;width:0;"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group>
                      <v:line id="_x0000_s1026" o:spid="_x0000_s1026" o:spt="20" style="position:absolute;left:6630;top:3427;height:468;width:1;" filled="f" stroked="t" coordsize="21600,21600" o:gfxdata="UEsDBAoAAAAAAIdO4kAAAAAAAAAAAAAAAAAEAAAAZHJzL1BLAwQUAAAACACHTuJAmXti3LwAAADb&#10;AAAADwAAAGRycy9kb3ducmV2LnhtbEVPS2vCQBC+F/oflil4q5so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7Yty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group>
                  </v:group>
                  <v:group id="_x0000_s1026" o:spid="_x0000_s1026" o:spt="203" style="position:absolute;left:5010;top:4831;height:468;width:5148;" coordorigin="4470,4831" coordsize="4500,468"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line id="_x0000_s1026" o:spid="_x0000_s1026" o:spt="20" style="position:absolute;left:4470;top:4831;height:1;width:4500;" filled="f" stroked="t" coordsize="21600,21600" o:gfxdata="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eZ7Ue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4470;top:4831;height:468;width:1;"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8969;top:4831;height:468;width:1;" filled="f" stroked="t" coordsize="21600,21600" o:gfxdata="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f8K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id="_x0000_s1026" o:spid="_x0000_s1026" o:spt="203" style="position:absolute;left:3210;top:5923;height:3120;width:6120;" coordorigin="3210,5923" coordsize="6120,3120"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_x0000_s1026" o:spid="_x0000_s1026" o:spt="202" type="#_x0000_t202" style="position:absolute;left:3750;top:6455;height:560;width:2520;" fillcolor="#FFFFFF" filled="t" stroked="t" coordsize="21600,21600" o:gfxdata="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KBVk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507D0AB6">
                            <w:pPr>
                              <w:jc w:val="center"/>
                              <w:rPr>
                                <w:rFonts w:ascii="宋体" w:hAnsi="宋体"/>
                                <w:sz w:val="18"/>
                                <w:szCs w:val="18"/>
                              </w:rPr>
                            </w:pPr>
                            <w:r>
                              <w:rPr>
                                <w:rFonts w:hint="eastAsia" w:ascii="宋体" w:hAnsi="宋体"/>
                                <w:sz w:val="18"/>
                                <w:szCs w:val="18"/>
                              </w:rPr>
                              <w:t>列入政府采购预算</w:t>
                            </w:r>
                          </w:p>
                        </w:txbxContent>
                      </v:textbox>
                    </v:shape>
                    <v:line id="_x0000_s1026" o:spid="_x0000_s1026" o:spt="20" style="position:absolute;left:5009;top:5923;height:468;width:1;" filled="f" stroked="t" coordsize="21600,21600" o:gfxdata="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ImTj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id="_x0000_s1026" o:spid="_x0000_s1026" o:spt="203" style="position:absolute;left:3210;top:7483;height:468;width:4500;" coordorigin="4470,4831" coordsize="4500,468"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line id="_x0000_s1026" o:spid="_x0000_s1026" o:spt="20" style="position:absolute;left:4470;top:4831;height:1;width:4500;" filled="f" stroked="t" coordsize="21600,21600" o:gfxdata="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ziH5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4470;top:4831;height:468;width:1;" filled="f" stroked="t" coordsize="21600,21600" o:gfxdata="UEsDBAoAAAAAAIdO4kAAAAAAAAAAAAAAAAAEAAAAZHJzL1BLAwQUAAAACACHTuJAVxeoYb8AAADb&#10;AAAADwAAAGRycy9kb3ducmV2LnhtbEWPT2vCQBTE7wW/w/IEb3UTh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XqG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8969;top:4831;height:468;width:1;" filled="f" stroked="t" coordsize="21600,21600" o:gfxdata="UEsDBAoAAAAAAIdO4kAAAAAAAAAAAAAAAAAEAAAAZHJzL1BLAwQUAAAACACHTuJA2P4wFb8AAADb&#10;AAAADwAAAGRycy9kb3ducmV2LnhtbEWPT2vCQBTE7wW/w/IEb3UTk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MB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line id="_x0000_s1026" o:spid="_x0000_s1026" o:spt="20" style="position:absolute;left:5009;top:7015;height:468;width:1;" filled="f" stroked="t" coordsize="21600,21600" o:gfxdata="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A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_x0000_s1026" o:spid="_x0000_s1026" o:spt="202" type="#_x0000_t202" style="position:absolute;left:6450;top:8015;height:1028;width:2880;" fillcolor="#FFFFFF" filled="t" stroked="t" coordsize="21600,21600" o:gfxdata="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BjRC/&#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BA6ECC8">
                            <w:pPr>
                              <w:rPr>
                                <w:rFonts w:ascii="宋体" w:hAnsi="宋体"/>
                                <w:sz w:val="18"/>
                                <w:szCs w:val="18"/>
                              </w:rPr>
                            </w:pPr>
                            <w:r>
                              <w:rPr>
                                <w:rFonts w:hint="eastAsia" w:ascii="宋体" w:hAnsi="宋体"/>
                                <w:sz w:val="18"/>
                                <w:szCs w:val="18"/>
                              </w:rPr>
                              <w:t>采购单位需提供项目清单及项目技术要求、参数内容报相关专家审定后进行招标</w:t>
                            </w:r>
                          </w:p>
                          <w:p w14:paraId="233A51E8">
                            <w:pPr>
                              <w:rPr>
                                <w:rFonts w:ascii="宋体" w:hAnsi="宋体"/>
                                <w:sz w:val="18"/>
                                <w:szCs w:val="18"/>
                              </w:rPr>
                            </w:pPr>
                          </w:p>
                        </w:txbxContent>
                      </v:textbox>
                    </v:shape>
                  </v:group>
                </v:group>
                <v:shape id="_x0000_s1026" o:spid="_x0000_s1026" o:spt="202" type="#_x0000_t202" style="position:absolute;left:4222750;top:2907030;height:525780;width:1554480;" fillcolor="#FFFFFF" filled="t" stroked="t" coordsize="21600,21600" o:gfxdata="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5mNRTVAAAABQEAAA8AAAAAAAAA&#10;AQAgAAAAIgAAAGRycy9kb3ducmV2LnhtbFBLAQIUABQAAAAIAIdO4kDoFXOfFAIAAEQEAAAOAAAA&#10;AAAAAAEAIAAAACQBAABkcnMvZTJvRG9jLnhtbFBLBQYAAAAABgAGAFkBAACqBQAAAAA=&#10;">
                  <v:fill on="t" focussize="0,0"/>
                  <v:stroke color="#000000" joinstyle="miter"/>
                  <v:imagedata o:title=""/>
                  <o:lock v:ext="edit" aspectratio="f"/>
                  <v:textbox>
                    <w:txbxContent>
                      <w:p w14:paraId="2E780871">
                        <w:pPr>
                          <w:rPr>
                            <w:rFonts w:ascii="仿宋_GB2312" w:eastAsia="仿宋_GB2312"/>
                            <w:sz w:val="18"/>
                            <w:szCs w:val="18"/>
                          </w:rPr>
                        </w:pPr>
                        <w:r>
                          <w:rPr>
                            <w:rFonts w:hint="eastAsia" w:ascii="宋体" w:hAnsi="宋体"/>
                            <w:sz w:val="18"/>
                            <w:szCs w:val="18"/>
                          </w:rPr>
                          <w:t>未通过的等待资金和相关会议再议定</w:t>
                        </w:r>
                      </w:p>
                      <w:p w14:paraId="74D6834A">
                        <w:pPr>
                          <w:rPr>
                            <w:rFonts w:ascii="宋体" w:hAnsi="宋体"/>
                            <w:sz w:val="18"/>
                            <w:szCs w:val="18"/>
                          </w:rPr>
                        </w:pPr>
                      </w:p>
                    </w:txbxContent>
                  </v:textbox>
                </v:shape>
                <w10:wrap type="none"/>
                <w10:anchorlock/>
              </v:group>
            </w:pict>
          </mc:Fallback>
        </mc:AlternateContent>
      </w:r>
    </w:p>
    <w:p w14:paraId="1FEE3B89">
      <w:pPr>
        <w:spacing w:line="360" w:lineRule="auto"/>
        <w:ind w:firstLine="640" w:firstLineChars="200"/>
        <w:rPr>
          <w:rFonts w:hint="eastAsia" w:ascii="仿宋_GB2312" w:eastAsia="仿宋_GB2312"/>
          <w:sz w:val="32"/>
          <w:szCs w:val="32"/>
        </w:rPr>
      </w:pPr>
    </w:p>
    <w:p w14:paraId="4C680F7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如图1，各项目的确定需要合理需求、不重复、确实符合教学需求。</w:t>
      </w:r>
    </w:p>
    <w:p w14:paraId="1989BA1A">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3、政府采购预算一般不作调整，确需追加或调整预算涉及到的采购项目须由设备管理科根据相关程序向省体育局、省预算处、省采购办等部门申报审批，对追加或调整预算的采购项目需写明申请说明是否符合追加或调整的理由。</w:t>
      </w:r>
    </w:p>
    <w:p w14:paraId="06E1562A">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4、采购人必须按照批准的学院采购预算、政府采购实施计划执行。未纳入学院采购预算及政府采购实施计划的政府采购项目，采购人应依据相关程序报批。</w:t>
      </w:r>
    </w:p>
    <w:p w14:paraId="3EC5C2F3">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（二）确定政府采购代理机构。除协议供货外其他超过《政府采购目录》限额的采购方式均需委托省体育局或在财政部门登记备案的政府采购代理机构进行采购，并与其签订集中采购委托代理协议书。</w:t>
      </w:r>
    </w:p>
    <w:p w14:paraId="0E29BFFE">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（三）办理采购审批手续。根据《河北省政府集中采购目录和限额标准》及省体育局相关规定，办理政府采购的备案、审批、审核等相关手续。</w:t>
      </w:r>
    </w:p>
    <w:p w14:paraId="1240BD7D">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（四）发布招标公告。采购代理机构根据采购人提供的采购项目的具体要求编制招标文件；组织专家对招标文件进行论证；在国家、省财政部门、省体育局指定的媒体发布招标公告。</w:t>
      </w:r>
    </w:p>
    <w:p w14:paraId="48E66562">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（五）抽取评标专家。开标当天，按照省采购办的要求到指定地点抽取评标专家。</w:t>
      </w:r>
    </w:p>
    <w:p w14:paraId="06CDDF53">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（六）评标。成立评标委员会，由采购人代表和现场抽取的有关技术、经济方面专家三人以上（含三人）组成，其中专家人数不得少于成员总数的三分之二。采购人代表不得担任评标委员会主任。</w:t>
      </w:r>
    </w:p>
    <w:p w14:paraId="24295E67">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评标委员会严格按评标要求，对投标商提供的投标文件进行认真评审，并按规定确定一到三名预中标候选人。</w:t>
      </w:r>
    </w:p>
    <w:p w14:paraId="74A36713">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（七）发布中标公告。招标结束后，招标代理机构在国家、省财政部门、省体育局指定的媒体发布中标公告，公告期满由招标代理机构向中标供应商发《中标通知书》。</w:t>
      </w:r>
    </w:p>
    <w:p w14:paraId="70D07FD0">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（八）签订采购合同。公告期满，采购人根据招标文件，草拟采购合同，经学院律师审核后，报院领导审批。院领导批准后，与中标供应商签订采购合同。</w:t>
      </w:r>
    </w:p>
    <w:p w14:paraId="68C10154">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（九）合同备案公示。签订合同后，设备管理科按照省采购办规定，在财政一体化平台进行合同备案及公示。</w:t>
      </w:r>
    </w:p>
    <w:p w14:paraId="0A924FEA">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十)付款。参加政府集中采购的项目，需提供以下资料：《院领导批示的付款报告》、《政府采购备案、审核、审批表》、《招标代理协议》、《政府采购中标通知书》、《政府采购合同书》、供方开出的正式《发货票》及复印件、《政府采购商品验收报告》和《政府采购合同审验通知单》，以及供应商开户名称、开户行、行号、账号等资料。</w:t>
      </w:r>
    </w:p>
    <w:p w14:paraId="21B0FC7D">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（十一）院财务处设备管理科和院纪检部门有权对参加政府采购活动的供应商进行事实监督检查，对供应商的不良行为进行记录，如记录在不良行为的供应商，我院可取消再次合作的相关行为。</w:t>
      </w:r>
    </w:p>
    <w:p w14:paraId="3654134D">
      <w:pPr>
        <w:spacing w:line="580" w:lineRule="exact"/>
        <w:rPr>
          <w:rFonts w:hint="eastAsia" w:ascii="仿宋" w:hAnsi="仿宋" w:eastAsia="仿宋" w:cs="仿宋"/>
          <w:sz w:val="28"/>
          <w:szCs w:val="28"/>
        </w:rPr>
      </w:pPr>
      <w:r>
        <w:rPr>
          <w:rFonts w:hint="eastAsia" w:ascii="仿宋" w:hAnsi="仿宋" w:eastAsia="仿宋" w:cs="仿宋"/>
          <w:b/>
          <w:sz w:val="28"/>
          <w:szCs w:val="28"/>
        </w:rPr>
        <w:t xml:space="preserve">   </w:t>
      </w:r>
      <w:r>
        <w:rPr>
          <w:rFonts w:hint="eastAsia" w:ascii="仿宋" w:hAnsi="仿宋" w:eastAsia="仿宋" w:cs="仿宋"/>
          <w:sz w:val="28"/>
          <w:szCs w:val="28"/>
        </w:rPr>
        <w:t xml:space="preserve"> 第七条 采购人有违反本条下列规定的，由院纪检监察部门责令限期整改；情节严重的，由院纪检监察部门对责任人员给予处分：</w:t>
      </w:r>
    </w:p>
    <w:p w14:paraId="0F502A1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应当采用公开招标方式而擅自采用其他方式采购的；应当在财政部门指定的政府采购信息发布媒体上公告信息而未公告的；将必须进行招标的项目化整为零或者以其他任何方式规避招标的；以不合理的要求限制或者排斥潜在的投标供应商，对潜在投标供应商实行差别待遇或者歧视待遇，或者招标文件含有倾向性或者排斥潜在投标供应商的其他内容的；评标委员会组成不符合本办法规定的；无正当理由不按照依法推荐的中标候选供应商顺序确定中标供应商，或者在评标委员会依法推荐的中标候选供应商以外确定中标供应商的；不按照招标文件和中标供应商的投标文件确定的事项签订政府采购合同，或者与中标供应商另行订立背离合同实质性内容的协议的；中标通知书发出后无正当理由不与中标供应商签订采购合同的。</w:t>
      </w:r>
    </w:p>
    <w:p w14:paraId="3D0748F8">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第八条 验收范围：经省体育局、省采购办审批招标采购的物资。</w:t>
      </w:r>
    </w:p>
    <w:p w14:paraId="44584676">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第九条 验收内容：</w:t>
      </w:r>
    </w:p>
    <w:p w14:paraId="614E1880">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一）市场购入的设备或厂家订购的设备，对供应商提供的货物品牌、名称、型号、配置、规格、外观、产地、生产厂家、技术性能、数量、服务承诺及结果对照政府采购合同、招投标文件等逐项内容进行现场检验、核对和验收。</w:t>
      </w:r>
    </w:p>
    <w:p w14:paraId="3FF729AA">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（二）研制组装的设备或委托加工的设备，在验收时，应出具全套设备的明细、委托加工合同、全套设计图纸，组装完成后的技术验收证明文件等。</w:t>
      </w:r>
    </w:p>
    <w:p w14:paraId="1F7C0FAB">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三）学院分散采购的设备、家具及低值易耗品由使用部门确认接收并使用正常，视为验收合格，验收合格后，由财务处设备管理科根据发票、固定资产调拨单等凭证，填制固定资产分配单，办理有关财务报销手续。</w:t>
      </w:r>
    </w:p>
    <w:p w14:paraId="3C2BF8A3">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第十条 验收手续：</w:t>
      </w:r>
    </w:p>
    <w:p w14:paraId="2914DB16">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（一）成立验收小组。验收小组由采购人、使用部门、设备管理科、技术人员及供货商等人员组成；</w:t>
      </w:r>
    </w:p>
    <w:p w14:paraId="540B3B25">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（二）验收合格后，验收成员分别在验收单签字，验收时，采购与验收不能为同一人；</w:t>
      </w:r>
    </w:p>
    <w:p w14:paraId="7DC05422">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（三）验收时，财务处设备管理科只对设备量数、型号、品牌负责检验，有关项目技术内容是否符合规定由相关技术人员进行认定；</w:t>
      </w:r>
    </w:p>
    <w:p w14:paraId="7460188C">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（四）验收完毕，采购人到财务处设备管理科办理固定资产登记手续；</w:t>
      </w:r>
    </w:p>
    <w:p w14:paraId="39439A5B">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（五）验收中发现的问题由采购人负责与供货单位联系解决。</w:t>
      </w:r>
    </w:p>
    <w:p w14:paraId="0C354C1E">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（六）针对我院分散采购的设备、家具及低值易耗品等物资，使用单位确认接收后，视为验收合格。并应对低值易耗品进行严格的入库、出库登记，确保每样物品的动态流向。</w:t>
      </w:r>
    </w:p>
    <w:p w14:paraId="1412E171">
      <w:pPr>
        <w:spacing w:line="560" w:lineRule="exact"/>
        <w:ind w:firstLine="645"/>
        <w:rPr>
          <w:rFonts w:hint="eastAsia" w:ascii="仿宋" w:hAnsi="仿宋" w:eastAsia="仿宋" w:cs="仿宋"/>
          <w:sz w:val="28"/>
          <w:szCs w:val="28"/>
        </w:rPr>
      </w:pPr>
      <w:r>
        <w:rPr>
          <w:rFonts w:hint="eastAsia" w:ascii="仿宋" w:hAnsi="仿宋" w:eastAsia="仿宋" w:cs="仿宋"/>
          <w:sz w:val="28"/>
          <w:szCs w:val="28"/>
        </w:rPr>
        <w:t>第十一条 验收归档：</w:t>
      </w:r>
    </w:p>
    <w:p w14:paraId="04690D59">
      <w:pPr>
        <w:spacing w:line="560" w:lineRule="exact"/>
        <w:ind w:firstLine="645"/>
        <w:rPr>
          <w:rFonts w:hint="eastAsia" w:ascii="仿宋" w:hAnsi="仿宋" w:eastAsia="仿宋" w:cs="仿宋"/>
          <w:sz w:val="28"/>
          <w:szCs w:val="28"/>
        </w:rPr>
      </w:pPr>
      <w:r>
        <w:rPr>
          <w:rFonts w:hint="eastAsia" w:ascii="仿宋" w:hAnsi="仿宋" w:eastAsia="仿宋" w:cs="仿宋"/>
          <w:sz w:val="28"/>
          <w:szCs w:val="28"/>
        </w:rPr>
        <w:t>设备资料归档由使用单位负责，单价5万元以上的设备，使用部门资产管理员收集整理后，应建档保存。</w:t>
      </w:r>
    </w:p>
    <w:p w14:paraId="5055BFBC">
      <w:pPr>
        <w:spacing w:line="560" w:lineRule="exact"/>
        <w:ind w:firstLine="645"/>
        <w:rPr>
          <w:rFonts w:hint="eastAsia" w:ascii="仿宋" w:hAnsi="仿宋" w:eastAsia="仿宋" w:cs="仿宋"/>
          <w:sz w:val="28"/>
          <w:szCs w:val="28"/>
        </w:rPr>
      </w:pPr>
      <w:r>
        <w:rPr>
          <w:rFonts w:hint="eastAsia" w:ascii="仿宋" w:hAnsi="仿宋" w:eastAsia="仿宋" w:cs="仿宋"/>
          <w:sz w:val="28"/>
          <w:szCs w:val="28"/>
        </w:rPr>
        <w:t>第十二条 本办法自发布之日起施行，其解释权归财务处。</w:t>
      </w:r>
    </w:p>
    <w:p w14:paraId="7CC70811">
      <w:pPr>
        <w:spacing w:line="560" w:lineRule="exact"/>
        <w:ind w:firstLine="645"/>
        <w:rPr>
          <w:rFonts w:hint="eastAsia" w:ascii="仿宋" w:hAnsi="仿宋" w:eastAsia="仿宋" w:cs="仿宋"/>
          <w:sz w:val="28"/>
          <w:szCs w:val="28"/>
        </w:rPr>
      </w:pPr>
    </w:p>
    <w:p w14:paraId="7C894EF1">
      <w:pPr>
        <w:spacing w:line="560" w:lineRule="exact"/>
        <w:ind w:firstLine="645"/>
        <w:rPr>
          <w:rFonts w:hint="eastAsia" w:ascii="仿宋" w:hAnsi="仿宋" w:eastAsia="仿宋" w:cs="仿宋"/>
          <w:sz w:val="28"/>
          <w:szCs w:val="28"/>
        </w:rPr>
      </w:pPr>
      <w:r>
        <w:rPr>
          <w:rFonts w:hint="eastAsia" w:ascii="仿宋" w:hAnsi="仿宋" w:eastAsia="仿宋" w:cs="仿宋"/>
          <w:sz w:val="28"/>
          <w:szCs w:val="28"/>
        </w:rPr>
        <w:t xml:space="preserve">                               </w:t>
      </w:r>
    </w:p>
    <w:p w14:paraId="24EA7E21">
      <w:pPr>
        <w:spacing w:line="560" w:lineRule="exact"/>
        <w:ind w:firstLine="645"/>
        <w:rPr>
          <w:rFonts w:hint="eastAsia" w:ascii="仿宋" w:hAnsi="仿宋" w:eastAsia="仿宋" w:cs="仿宋"/>
          <w:sz w:val="28"/>
          <w:szCs w:val="28"/>
        </w:rPr>
      </w:pPr>
    </w:p>
    <w:p w14:paraId="136060F9">
      <w:pPr>
        <w:spacing w:line="560" w:lineRule="exact"/>
        <w:ind w:firstLine="645"/>
        <w:rPr>
          <w:rFonts w:hint="eastAsia" w:ascii="仿宋" w:hAnsi="仿宋" w:eastAsia="仿宋" w:cs="仿宋"/>
          <w:sz w:val="28"/>
          <w:szCs w:val="28"/>
        </w:rPr>
      </w:pPr>
    </w:p>
    <w:p w14:paraId="102AEFB5">
      <w:pPr>
        <w:spacing w:line="560" w:lineRule="exact"/>
        <w:ind w:firstLine="5051" w:firstLineChars="1804"/>
        <w:rPr>
          <w:rFonts w:hint="eastAsia" w:ascii="仿宋" w:hAnsi="仿宋" w:eastAsia="仿宋" w:cs="仿宋"/>
          <w:sz w:val="28"/>
          <w:szCs w:val="28"/>
        </w:rPr>
      </w:pPr>
      <w:r>
        <w:rPr>
          <w:rFonts w:hint="eastAsia" w:ascii="仿宋" w:hAnsi="仿宋" w:eastAsia="仿宋" w:cs="仿宋"/>
          <w:sz w:val="28"/>
          <w:szCs w:val="28"/>
        </w:rPr>
        <w:t>河北体育学院</w:t>
      </w:r>
    </w:p>
    <w:p w14:paraId="19D9A2E6">
      <w:pPr>
        <w:spacing w:line="560" w:lineRule="exact"/>
        <w:ind w:firstLine="645"/>
        <w:rPr>
          <w:rFonts w:hint="eastAsia" w:ascii="仿宋" w:hAnsi="仿宋" w:eastAsia="仿宋" w:cs="仿宋"/>
          <w:sz w:val="28"/>
          <w:szCs w:val="28"/>
        </w:rPr>
      </w:pPr>
      <w:r>
        <w:rPr>
          <w:rFonts w:hint="eastAsia" w:ascii="仿宋" w:hAnsi="仿宋" w:eastAsia="仿宋" w:cs="仿宋"/>
          <w:sz w:val="28"/>
          <w:szCs w:val="28"/>
        </w:rPr>
        <w:t xml:space="preserve">                              2018年7月5日</w:t>
      </w:r>
    </w:p>
    <w:p w14:paraId="18B06DA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28"/>
          <w:szCs w:val="28"/>
        </w:rPr>
      </w:pPr>
    </w:p>
    <w:p w14:paraId="1236B90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703256"/>
    <w:rsid w:val="28703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2025-03-24T02:59:00Z</dcterms:created>
  <dc:creator>WPS_1711335280</dc:creator>
  <cp:lastModifiedBy>WPS_1711335280</cp:lastModifiedBy>
  <dcterms:modified xsi:type="dcterms:W3CDTF">2025-03-24T03:00:16Z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4040F75A776247B5BB22E3B356A7250C_11</vt:lpwstr>
  </property>
  <property fmtid="{D5CDD505-2E9C-101B-9397-08002B2CF9AE}" pid="4" name="KSOTemplateDocerSaveRecord">
    <vt:lpwstr>eyJoZGlkIjoiODMyZDkxNDBhN2MwNjE0MzdjNGRlNzljMDRiYWYzZGMiLCJ1c2VySWQiOiIxNTg5MzQwNDEyIn0=</vt:lpwstr>
  </property>
</Properties>
</file>