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B87FC">
      <w:pPr>
        <w:spacing w:line="580" w:lineRule="exact"/>
        <w:jc w:val="center"/>
        <w:rPr>
          <w:rFonts w:hint="eastAsia" w:ascii="方正小标宋简体" w:hAnsi="仿宋" w:eastAsia="方正小标宋简体" w:cs="宋体"/>
          <w:sz w:val="30"/>
          <w:szCs w:val="30"/>
        </w:rPr>
      </w:pPr>
      <w:r>
        <w:rPr>
          <w:rFonts w:hint="eastAsia" w:ascii="方正小标宋简体" w:hAnsi="仿宋" w:eastAsia="方正小标宋简体" w:cs="宋体"/>
          <w:sz w:val="30"/>
          <w:szCs w:val="30"/>
        </w:rPr>
        <w:t>河北体育学院</w:t>
      </w:r>
    </w:p>
    <w:p w14:paraId="003FDE1A">
      <w:pPr>
        <w:spacing w:line="580" w:lineRule="exact"/>
        <w:jc w:val="center"/>
        <w:rPr>
          <w:rFonts w:hint="eastAsia" w:ascii="方正小标宋简体" w:hAnsi="仿宋" w:eastAsia="方正小标宋简体" w:cs="宋体"/>
          <w:sz w:val="30"/>
          <w:szCs w:val="30"/>
        </w:rPr>
      </w:pPr>
      <w:r>
        <w:rPr>
          <w:rFonts w:hint="eastAsia" w:ascii="方正小标宋简体" w:hAnsi="仿宋" w:eastAsia="方正小标宋简体" w:cs="宋体"/>
          <w:sz w:val="30"/>
          <w:szCs w:val="30"/>
        </w:rPr>
        <w:t>关于印发《河北体育学院</w:t>
      </w:r>
      <w:r>
        <w:rPr>
          <w:rFonts w:hint="eastAsia" w:ascii="方正小标宋简体" w:hAnsi="仿宋" w:eastAsia="方正小标宋简体"/>
          <w:sz w:val="30"/>
          <w:szCs w:val="30"/>
        </w:rPr>
        <w:t>财务报销签批管理办法</w:t>
      </w:r>
      <w:r>
        <w:rPr>
          <w:rFonts w:hint="eastAsia" w:ascii="方正小标宋简体" w:hAnsi="仿宋" w:eastAsia="方正小标宋简体" w:cs="宋体"/>
          <w:sz w:val="30"/>
          <w:szCs w:val="30"/>
        </w:rPr>
        <w:t>》的通知</w:t>
      </w:r>
    </w:p>
    <w:p w14:paraId="2BEE9EA1">
      <w:pPr>
        <w:spacing w:line="580" w:lineRule="exact"/>
        <w:jc w:val="center"/>
        <w:rPr>
          <w:rFonts w:hint="eastAsia" w:ascii="仿宋" w:hAnsi="仿宋" w:eastAsia="仿宋" w:cs="仿宋"/>
          <w:sz w:val="28"/>
          <w:szCs w:val="28"/>
        </w:rPr>
      </w:pPr>
      <w:r>
        <w:rPr>
          <w:rFonts w:hint="eastAsia" w:ascii="仿宋" w:hAnsi="仿宋" w:eastAsia="仿宋" w:cs="仿宋"/>
          <w:sz w:val="28"/>
          <w:szCs w:val="28"/>
        </w:rPr>
        <w:t>冀体院字〔2023〕58号</w:t>
      </w:r>
    </w:p>
    <w:p w14:paraId="46336F68">
      <w:pPr>
        <w:spacing w:line="580" w:lineRule="exact"/>
        <w:jc w:val="center"/>
        <w:rPr>
          <w:rFonts w:hint="eastAsia" w:ascii="仿宋" w:hAnsi="仿宋" w:eastAsia="仿宋" w:cs="仿宋"/>
          <w:sz w:val="28"/>
          <w:szCs w:val="28"/>
        </w:rPr>
      </w:pPr>
      <w:bookmarkStart w:id="0" w:name="_GoBack"/>
      <w:bookmarkEnd w:id="0"/>
    </w:p>
    <w:p w14:paraId="18925CD0">
      <w:pPr>
        <w:spacing w:line="580" w:lineRule="exact"/>
        <w:jc w:val="center"/>
        <w:rPr>
          <w:rFonts w:hint="eastAsia" w:ascii="仿宋" w:hAnsi="仿宋" w:eastAsia="仿宋" w:cs="仿宋"/>
          <w:sz w:val="28"/>
          <w:szCs w:val="28"/>
        </w:rPr>
      </w:pPr>
    </w:p>
    <w:p w14:paraId="0E9B25F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各单位、各部门：</w:t>
      </w:r>
    </w:p>
    <w:p w14:paraId="10D3EDD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《河北体育学院财务报销签批管理办法》已经2023年12月21日院长办公会审议通过，现予以印发，2024年1月1日起执行。</w:t>
      </w:r>
    </w:p>
    <w:p w14:paraId="7C5403BA">
      <w:pPr>
        <w:spacing w:line="560" w:lineRule="exact"/>
        <w:ind w:firstLine="560" w:firstLineChars="200"/>
        <w:rPr>
          <w:rFonts w:hint="eastAsia" w:ascii="仿宋" w:hAnsi="仿宋" w:eastAsia="仿宋" w:cs="仿宋"/>
          <w:sz w:val="28"/>
          <w:szCs w:val="28"/>
        </w:rPr>
      </w:pPr>
    </w:p>
    <w:p w14:paraId="2074E2D5">
      <w:pPr>
        <w:spacing w:line="560" w:lineRule="exact"/>
        <w:ind w:firstLine="560" w:firstLineChars="200"/>
        <w:rPr>
          <w:rFonts w:hint="eastAsia" w:ascii="仿宋" w:hAnsi="仿宋" w:eastAsia="仿宋" w:cs="仿宋"/>
          <w:sz w:val="28"/>
          <w:szCs w:val="28"/>
        </w:rPr>
      </w:pPr>
    </w:p>
    <w:p w14:paraId="18995C9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河北体育学院</w:t>
      </w:r>
    </w:p>
    <w:p w14:paraId="57D970B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2023年12月22日 </w:t>
      </w:r>
    </w:p>
    <w:p w14:paraId="3EDC7F33">
      <w:pPr>
        <w:spacing w:line="580" w:lineRule="exact"/>
        <w:rPr>
          <w:rFonts w:ascii="仿宋" w:hAnsi="仿宋" w:eastAsia="仿宋"/>
          <w:sz w:val="32"/>
          <w:szCs w:val="32"/>
        </w:rPr>
      </w:pPr>
    </w:p>
    <w:p w14:paraId="742DFEA1">
      <w:pPr>
        <w:spacing w:line="580" w:lineRule="exact"/>
        <w:jc w:val="center"/>
        <w:rPr>
          <w:rFonts w:hint="eastAsia" w:ascii="方正小标宋简体" w:hAnsi="仿宋" w:eastAsia="方正小标宋简体"/>
          <w:sz w:val="44"/>
          <w:szCs w:val="44"/>
        </w:rPr>
      </w:pPr>
    </w:p>
    <w:p w14:paraId="3741DA0F">
      <w:pPr>
        <w:spacing w:line="580" w:lineRule="exact"/>
        <w:jc w:val="center"/>
        <w:rPr>
          <w:rFonts w:hint="eastAsia" w:ascii="方正小标宋简体" w:hAnsi="仿宋" w:eastAsia="方正小标宋简体"/>
          <w:sz w:val="44"/>
          <w:szCs w:val="44"/>
        </w:rPr>
      </w:pPr>
    </w:p>
    <w:p w14:paraId="07C2B0B5">
      <w:pPr>
        <w:spacing w:line="580" w:lineRule="exact"/>
        <w:jc w:val="center"/>
        <w:rPr>
          <w:rFonts w:hint="eastAsia" w:ascii="方正小标宋简体" w:hAnsi="仿宋" w:eastAsia="方正小标宋简体"/>
          <w:sz w:val="44"/>
          <w:szCs w:val="44"/>
        </w:rPr>
      </w:pPr>
    </w:p>
    <w:p w14:paraId="3A3AB771">
      <w:pPr>
        <w:spacing w:line="560" w:lineRule="exact"/>
        <w:rPr>
          <w:rFonts w:hint="eastAsia" w:ascii="方正小标宋简体" w:hAnsi="仿宋" w:eastAsia="方正小标宋简体"/>
          <w:sz w:val="44"/>
          <w:szCs w:val="44"/>
        </w:rPr>
      </w:pPr>
    </w:p>
    <w:p w14:paraId="7DB5EC47">
      <w:pPr>
        <w:spacing w:line="560" w:lineRule="exact"/>
        <w:ind w:firstLine="3080" w:firstLineChars="700"/>
        <w:rPr>
          <w:rFonts w:hint="eastAsia" w:ascii="方正小标宋简体" w:hAnsi="仿宋" w:eastAsia="方正小标宋简体"/>
          <w:sz w:val="44"/>
          <w:szCs w:val="44"/>
        </w:rPr>
      </w:pPr>
    </w:p>
    <w:p w14:paraId="55C7CF4A">
      <w:pPr>
        <w:rPr>
          <w:rFonts w:hint="eastAsia" w:ascii="方正小标宋简体" w:hAnsi="仿宋" w:eastAsia="方正小标宋简体"/>
          <w:sz w:val="30"/>
          <w:szCs w:val="30"/>
        </w:rPr>
      </w:pPr>
      <w:r>
        <w:rPr>
          <w:rFonts w:hint="eastAsia" w:ascii="方正小标宋简体" w:hAnsi="仿宋" w:eastAsia="方正小标宋简体"/>
          <w:sz w:val="30"/>
          <w:szCs w:val="30"/>
        </w:rPr>
        <w:br w:type="page"/>
      </w:r>
    </w:p>
    <w:p w14:paraId="1D5C1F62">
      <w:pPr>
        <w:spacing w:line="560" w:lineRule="exact"/>
        <w:ind w:firstLine="2100" w:firstLineChars="700"/>
        <w:rPr>
          <w:rFonts w:hint="eastAsia" w:ascii="方正小标宋简体" w:hAnsi="仿宋" w:eastAsia="方正小标宋简体"/>
          <w:sz w:val="30"/>
          <w:szCs w:val="30"/>
        </w:rPr>
      </w:pPr>
      <w:r>
        <w:rPr>
          <w:rFonts w:hint="eastAsia" w:ascii="方正小标宋简体" w:hAnsi="仿宋" w:eastAsia="方正小标宋简体"/>
          <w:sz w:val="30"/>
          <w:szCs w:val="30"/>
        </w:rPr>
        <w:t>河北体育学院财务报销签批管理办法</w:t>
      </w:r>
    </w:p>
    <w:p w14:paraId="34367908">
      <w:pPr>
        <w:spacing w:line="580" w:lineRule="exact"/>
        <w:jc w:val="center"/>
        <w:rPr>
          <w:rFonts w:ascii="仿宋" w:hAnsi="仿宋" w:eastAsia="仿宋"/>
          <w:b/>
          <w:sz w:val="32"/>
          <w:szCs w:val="32"/>
        </w:rPr>
      </w:pPr>
    </w:p>
    <w:p w14:paraId="3B39D7D7">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为进一步加强内部控制建设，明确经济责任，防范财务风险，规范和优化支付手续，提高财务工作效率，根据《中华人民共和国会计法》《中华人民共和国预算法》《会计基础工作规范》《行政事业单位内部控制规范〈试行〉》《政府会计准则》《政府会计制度》《高等学校财务制度》等，结合学院实际情况，制定本办法。</w:t>
      </w:r>
    </w:p>
    <w:p w14:paraId="023AC245">
      <w:pPr>
        <w:spacing w:line="560" w:lineRule="exact"/>
        <w:ind w:firstLine="560" w:firstLineChars="200"/>
        <w:rPr>
          <w:rFonts w:ascii="黑体" w:hAnsi="黑体" w:eastAsia="黑体"/>
          <w:sz w:val="28"/>
          <w:szCs w:val="28"/>
        </w:rPr>
      </w:pPr>
      <w:r>
        <w:rPr>
          <w:rFonts w:hint="eastAsia" w:ascii="黑体" w:hAnsi="黑体" w:eastAsia="黑体"/>
          <w:sz w:val="28"/>
          <w:szCs w:val="28"/>
        </w:rPr>
        <w:t xml:space="preserve"> 一、签批原则</w:t>
      </w:r>
    </w:p>
    <w:p w14:paraId="7A6664B1">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一</w:t>
      </w:r>
      <w:r>
        <w:rPr>
          <w:rFonts w:hint="eastAsia" w:ascii="仿宋_GB2312" w:eastAsia="仿宋_GB2312"/>
          <w:sz w:val="28"/>
          <w:szCs w:val="28"/>
        </w:rPr>
        <w:t>）“授权签批”原则。经费支出签批必须严格执行“一支笔”签批制度。各经费使用单位应确定经费负责人，同时应确定财务管理员，负责财务事项的管理工作及报账事宜。各经费使用单位应将经费负责人及财务管理员名单以纸质形式加盖本部门公章报财务处备案。若人员有变动，应及时书面报财务处变更。</w:t>
      </w:r>
    </w:p>
    <w:p w14:paraId="7E1424FF">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二）“逐级签批”原则。经费签批实行“权责相结合”和“谁管理、谁负责”的经费签批原则。经费支出按权限逐级签批，依次为：经费负责人/归口管理部门负责人、主管院领导、主管财务工作的院领导、院长。</w:t>
      </w:r>
    </w:p>
    <w:p w14:paraId="08848FE4">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（三）“签批回避”原则。经办人、负责人应相互回避，由不同人员履行相应职责。</w:t>
      </w:r>
    </w:p>
    <w:p w14:paraId="3F7D0CB1">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（四）“执行预算”原则。所有支出必须有预算安排或有明确的资金来源。无预算、超预算或无资金来源的支出，财务处不予受理。</w:t>
      </w:r>
    </w:p>
    <w:p w14:paraId="0BCDA606">
      <w:pPr>
        <w:spacing w:line="560" w:lineRule="exact"/>
        <w:ind w:firstLine="560" w:firstLineChars="200"/>
        <w:rPr>
          <w:rFonts w:ascii="黑体" w:hAnsi="黑体" w:eastAsia="黑体"/>
          <w:sz w:val="28"/>
          <w:szCs w:val="28"/>
        </w:rPr>
      </w:pPr>
      <w:r>
        <w:rPr>
          <w:rFonts w:hint="eastAsia" w:ascii="黑体" w:hAnsi="黑体" w:eastAsia="黑体"/>
          <w:sz w:val="28"/>
          <w:szCs w:val="28"/>
        </w:rPr>
        <w:t>二、签批类别</w:t>
      </w:r>
    </w:p>
    <w:p w14:paraId="550B2004">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分为六大类：</w:t>
      </w:r>
    </w:p>
    <w:p w14:paraId="1046467E">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（一）年初预算安排的部门业务经费、专项经费、基金经费、基建经费、设备购置费等；</w:t>
      </w:r>
    </w:p>
    <w:p w14:paraId="54C8EDFC">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（二）年初预算安排的人员经费；</w:t>
      </w:r>
    </w:p>
    <w:p w14:paraId="7086D290">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（三）年初预算安排的科研类经费；</w:t>
      </w:r>
    </w:p>
    <w:p w14:paraId="7651D52D">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（四）年初预算安排的“三公”经费、会议费、培训费；</w:t>
      </w:r>
    </w:p>
    <w:p w14:paraId="5FE7C7E7">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（五）学院预算文本待细化经费、年中追加预算经费、项目经费预算调整等；</w:t>
      </w:r>
    </w:p>
    <w:p w14:paraId="3E26E7B4">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（六）暂收暂付、代收代付款项。</w:t>
      </w:r>
    </w:p>
    <w:p w14:paraId="42B6846A">
      <w:pPr>
        <w:spacing w:line="560" w:lineRule="exact"/>
        <w:ind w:firstLine="560" w:firstLineChars="200"/>
        <w:rPr>
          <w:rFonts w:ascii="黑体" w:hAnsi="黑体" w:eastAsia="黑体"/>
          <w:sz w:val="28"/>
          <w:szCs w:val="28"/>
        </w:rPr>
      </w:pPr>
      <w:r>
        <w:rPr>
          <w:rFonts w:hint="eastAsia" w:ascii="黑体" w:hAnsi="黑体" w:eastAsia="黑体"/>
          <w:sz w:val="28"/>
          <w:szCs w:val="28"/>
        </w:rPr>
        <w:t>三、签批权限与程序</w:t>
      </w:r>
    </w:p>
    <w:p w14:paraId="00798485">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所有报销经手人取得合规票据并签字，经各部门财务管理员初审，财务处审核岗复审后，分类按下述程序签批。</w:t>
      </w:r>
    </w:p>
    <w:p w14:paraId="55A169E6">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（一）年初预算安排的部门业务经费、专项经费、基金经费、基建经费、设备购置费等</w:t>
      </w:r>
    </w:p>
    <w:p w14:paraId="18BFEC2A">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一次性开支1万元以下的，由经费负责人签批。</w:t>
      </w:r>
    </w:p>
    <w:p w14:paraId="47A0CFD4">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一次性开支1万元（含）以上至10万元以下的，由主管院领导签批。</w:t>
      </w:r>
    </w:p>
    <w:p w14:paraId="43A8EDBA">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一次性开支10万元（含）以上至30万元以下的，由财务处长、主管财务工作的院领导签批。</w:t>
      </w:r>
    </w:p>
    <w:p w14:paraId="42AFF7B4">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一次性开支30万元（含）以上的，由院长签批。</w:t>
      </w:r>
    </w:p>
    <w:p w14:paraId="5B3C11B7">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年初预算内的社会培训类等其他收入安排支出的签批程序，参照上述执行。</w:t>
      </w:r>
    </w:p>
    <w:p w14:paraId="3E9BA9C7">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由各归口管理部门细化至各系部的专项业务费，如党建经费、实习经费、访企拓岗经费等，一次性开支1万元以下的，由各使用部门经费负责人签批；一次性开支1万元（含）以上的，由归口管理部门负责人和归口管理部门主管院领导审批，分资金额度比照上述签批流程执行。</w:t>
      </w:r>
    </w:p>
    <w:p w14:paraId="4F7F641E">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（二）年初预算安排的人员经费</w:t>
      </w:r>
    </w:p>
    <w:p w14:paraId="67E01FC8">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预算内的人员经费（如工资津补贴、社会保险费、退休人员津补贴、遗属生活补助、取暖费、人事代理、聘用人员工资及保险、独生子女奖励金等），虽金额较大，但支出经常且相对固定，由归口管理部门负责人、主管院领导签批发放。遇政策变动、大范围的人员经费调整，须按照相关制度办法，视资金额度提交院长办公会或党委常委会讨论决议。</w:t>
      </w:r>
    </w:p>
    <w:p w14:paraId="5EF59DB8">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（三）年初预算安排的科研类经费</w:t>
      </w:r>
    </w:p>
    <w:p w14:paraId="31935F69">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科研类经费包含外拨科研课题经费（含纵向、横向科研课题等）、校内科研课题、科研启动费等。</w:t>
      </w:r>
    </w:p>
    <w:p w14:paraId="3B753A41">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1.外拨科研课题经费</w:t>
      </w:r>
    </w:p>
    <w:p w14:paraId="19887EAF">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由归口管理部门向财务处备案外拨科研项目明细表，财务处据此细化登记科研课题预算指标后方可报销。签批流程如下：</w:t>
      </w:r>
    </w:p>
    <w:p w14:paraId="025F3DA8">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一次性开支5万元以下的，由项目负责人签批；</w:t>
      </w:r>
    </w:p>
    <w:p w14:paraId="6BCE548F">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一次性开支5万元（含）以上至10万元以下的，由归口管理部门负责人签批。</w:t>
      </w:r>
    </w:p>
    <w:p w14:paraId="511DEB23">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一次性开支10万元（含）以上至30万元以下的，由归口管理部门主管院领导签批。</w:t>
      </w:r>
    </w:p>
    <w:p w14:paraId="7F32AEC5">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一次性开支30万元（含）以上至80万元以下的，由主管财务的院领导签批。</w:t>
      </w:r>
    </w:p>
    <w:p w14:paraId="7004C3C1">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一次性开支80万元（含）以上的，由院长签批。</w:t>
      </w:r>
    </w:p>
    <w:p w14:paraId="6026F337">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外拨科研课题经费管理费按照归口管理部门确定的项目明细表中列明的管理费额度提取。</w:t>
      </w:r>
    </w:p>
    <w:p w14:paraId="1F331294">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外拨科研课题因职工调离等原因需要转出科研课题经费的，须提供学院审批同意转出的相关资料，由归口管理部门参照上述签批程序办理资金转出手续。</w:t>
      </w:r>
    </w:p>
    <w:p w14:paraId="1A018F0C">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2.校内科研课题经费</w:t>
      </w:r>
    </w:p>
    <w:p w14:paraId="3B2F7EC9">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校内科研课题经费是指由学院自有经费安排设立管理的科研课题经费，主要为科研课题、教改课题等。签批流程如下：</w:t>
      </w:r>
    </w:p>
    <w:p w14:paraId="5C34FF9E">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一次性开支1万元以下的，由归口管理部门经费负责人签批。</w:t>
      </w:r>
    </w:p>
    <w:p w14:paraId="5743561B">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一次性开支1万元（含）以上至10万元以下的，由归口管理部门主管院领导签批。</w:t>
      </w:r>
    </w:p>
    <w:p w14:paraId="54F2C066">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一次性开支10万元（含）以上至30万元以下的，由财务处处长、主管财务工作的院领导签批。</w:t>
      </w:r>
    </w:p>
    <w:p w14:paraId="4CB3F1EF">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一次性开支30万元（含）以上的，由院长签批。</w:t>
      </w:r>
    </w:p>
    <w:p w14:paraId="5B35DDE0">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校内科研课题经费不提取科研课题管理费。</w:t>
      </w:r>
    </w:p>
    <w:p w14:paraId="2FDB7768">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3.人才引进科研启动经费</w:t>
      </w:r>
    </w:p>
    <w:p w14:paraId="08AE6582">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人才引进科研启动经费是学院拨付给引进人才的科研启动专项经费。签批流程如下：</w:t>
      </w:r>
    </w:p>
    <w:p w14:paraId="425052D2">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一次性开支5万元以下的，由科研处负责人签批。</w:t>
      </w:r>
    </w:p>
    <w:p w14:paraId="216F3A22">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一次性开支5万元（含）以上至10万元以下的，由主管科研工作的院领导签批。</w:t>
      </w:r>
    </w:p>
    <w:p w14:paraId="5ED1CF33">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一次性开支10万元（含）以上至30万元以下的，由财务处处长、主管财务的院领导签批。</w:t>
      </w:r>
    </w:p>
    <w:p w14:paraId="1C30A9B5">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一次性开支30万元（含）以上至80万元以下的，由院长签批。</w:t>
      </w:r>
    </w:p>
    <w:p w14:paraId="54A1FAC7">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一次性开支80万元（含）以上的，院长签批（附院长办公会纪要）。</w:t>
      </w:r>
    </w:p>
    <w:p w14:paraId="25AFD462">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人才引进科研启动经费不提取科研课题管理费。</w:t>
      </w:r>
    </w:p>
    <w:p w14:paraId="7C34427B">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（四）年初预算安排的“三公”经费、会议费、培训费</w:t>
      </w:r>
    </w:p>
    <w:p w14:paraId="1CFD2D52">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公务用车日常运行维护费由后勤管理处管理，主管后勤工作的院领导签批。</w:t>
      </w:r>
    </w:p>
    <w:p w14:paraId="1AA87914">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公务接待费由院办公室管理，主管办公室工作的院领导签批。</w:t>
      </w:r>
    </w:p>
    <w:p w14:paraId="09A368FA">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因公出国经费、会议费、培训费统一由院办公室管理，主管办公室工作的院领导签批。</w:t>
      </w:r>
    </w:p>
    <w:p w14:paraId="4E8D3284">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院办公室、后勤管理处按照省财政厅、机关事务管理局、体育局等上级文件精神要求，并参照学院审批权限，分别制定具体实施管理办法。</w:t>
      </w:r>
    </w:p>
    <w:p w14:paraId="41A2015D">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（五）预算文本中待细化经费、年中追加预算经费、项目经费预算调整等</w:t>
      </w:r>
    </w:p>
    <w:p w14:paraId="081C4A08">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1.预算文本待细化经费</w:t>
      </w:r>
    </w:p>
    <w:p w14:paraId="544FBF55">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一次性开支5万元以下的，经充分沟通后由使用部门提出申请经主管院领导、主管财务院领导和财务处长审批。</w:t>
      </w:r>
    </w:p>
    <w:p w14:paraId="27F1E8AC">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一次性开支5万元（含）以上至10万元以下的，经充分沟通后由使用部门提出申请，经主管院领导、主管财务院领导、院长和财务处处长审批。</w:t>
      </w:r>
    </w:p>
    <w:p w14:paraId="1C81A69B">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次性开支10万元（含）以上至80万元以下的，经院长办公会审议、80万元（含）以上经院党委常委会审议通过后，按预算内经费审批程序签批。特别紧急而又无法及时召开院长办公会或院党委常委会审议的事项，实行院长办公会成员联签或院党委常委会成员联签。</w:t>
      </w:r>
    </w:p>
    <w:p w14:paraId="1F18103D">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2.年中追加预算经费</w:t>
      </w:r>
    </w:p>
    <w:p w14:paraId="0D26659C">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年中追加预算经费，80万元以下的经费预算安排由院长办公会审议，80万元（含）以上经费预算安排经院长办公会研究并提交院党委常委会会议审议通过后，按预算内经费签批程序进行。</w:t>
      </w:r>
    </w:p>
    <w:p w14:paraId="36B36DEA">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3.项目经费预算调整</w:t>
      </w:r>
    </w:p>
    <w:p w14:paraId="4454B9F5">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项目经费预算调整，80万元以下的项目经费预算调整提交院长办公会审议，80万元（含）以上的项目经费预算调整经院长办公会研究并提交院党委常委会会议审议通过后，按预算内经费签批程序进行。</w:t>
      </w:r>
    </w:p>
    <w:p w14:paraId="1E6A428F">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（六）暂收暂付、代收代付款项</w:t>
      </w:r>
    </w:p>
    <w:p w14:paraId="4FDB20BA">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暂收暂付、代收代付款项主要是各类借款、按照合同收取的质量保证金、履约保证金、押金，代收的水电费等款项。</w:t>
      </w:r>
    </w:p>
    <w:p w14:paraId="6A4A435F">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实行公务卡结算后，学院原则上不办理借款。确需办理借款的，在确定借款经费来源后，按照签批类别办理签批手续，5万元以下的借款财务处长加批，5万元（含）以上借款，主管财务院领导加批。</w:t>
      </w:r>
    </w:p>
    <w:p w14:paraId="53087464">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其他暂收暂付、代收代付款项，按照合同或协议等达到退还或支付条件的，由业务部门负责按流程完成退还或支付手续：一次性退还或支付10万元以下的，经费负责人签批；一次性退还或支付10万元（含）以上的，主管院领导签批。</w:t>
      </w:r>
    </w:p>
    <w:p w14:paraId="4D8001CD">
      <w:pPr>
        <w:spacing w:line="560" w:lineRule="exact"/>
        <w:ind w:firstLine="560" w:firstLineChars="200"/>
        <w:rPr>
          <w:rFonts w:ascii="黑体" w:hAnsi="黑体" w:eastAsia="黑体"/>
          <w:sz w:val="28"/>
          <w:szCs w:val="28"/>
        </w:rPr>
      </w:pPr>
      <w:r>
        <w:rPr>
          <w:rFonts w:hint="eastAsia" w:ascii="黑体" w:hAnsi="黑体" w:eastAsia="黑体"/>
          <w:sz w:val="28"/>
          <w:szCs w:val="28"/>
        </w:rPr>
        <w:t>四、管理要求</w:t>
      </w:r>
    </w:p>
    <w:p w14:paraId="54465DBE">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（一）经手人要对经手票据的真实性与合法性负责，并在票据上签字。</w:t>
      </w:r>
    </w:p>
    <w:p w14:paraId="755695E1">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（二）各级经费签批人应根据职责、分工和所授权限，在授权范围内进行签批。</w:t>
      </w:r>
    </w:p>
    <w:p w14:paraId="2376DF54">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（三）“三公”经费、会议费、培训费支出要实行预算总量控制，切实做到只减不增。</w:t>
      </w:r>
    </w:p>
    <w:p w14:paraId="765D46AC">
      <w:pPr>
        <w:spacing w:line="560" w:lineRule="exact"/>
        <w:ind w:firstLine="560" w:firstLineChars="200"/>
        <w:rPr>
          <w:rFonts w:ascii="黑体" w:hAnsi="黑体" w:eastAsia="黑体"/>
          <w:sz w:val="28"/>
          <w:szCs w:val="28"/>
        </w:rPr>
      </w:pPr>
      <w:r>
        <w:rPr>
          <w:rFonts w:hint="eastAsia" w:ascii="黑体" w:hAnsi="黑体" w:eastAsia="黑体"/>
          <w:sz w:val="28"/>
          <w:szCs w:val="28"/>
        </w:rPr>
        <w:t>五、其他</w:t>
      </w:r>
    </w:p>
    <w:p w14:paraId="13AD87D9">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（一）本管理办法由财务处负责解释。</w:t>
      </w:r>
    </w:p>
    <w:p w14:paraId="446AB625">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（二）如遇国家政策调整，本办法与新出台政策有相抵触之处，适用国家新政策。</w:t>
      </w:r>
    </w:p>
    <w:p w14:paraId="6EF001F2">
      <w:pPr>
        <w:spacing w:line="560" w:lineRule="exact"/>
        <w:ind w:firstLine="560" w:firstLineChars="200"/>
      </w:pPr>
      <w:r>
        <w:rPr>
          <w:rFonts w:hint="eastAsia" w:ascii="仿宋_GB2312" w:eastAsia="仿宋_GB2312"/>
          <w:sz w:val="28"/>
          <w:szCs w:val="28"/>
        </w:rPr>
        <w:t>（三）本管理办法自2024年1月1日起施行。原《河北体育学院财务报销签批管理办法》（冀体院字〔2019〕73号）同时废止。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4E4516-B427-4AD7-82A1-E6642A1F77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91158675-145D-4B8F-82DF-E52A9D2D8E1D}"/>
  </w:font>
  <w:font w:name="方正小标宋简体">
    <w:panose1 w:val="02000000000000000000"/>
    <w:charset w:val="86"/>
    <w:family w:val="auto"/>
    <w:pitch w:val="default"/>
    <w:sig w:usb0="00000001" w:usb1="08000000" w:usb2="00000000" w:usb3="00000000" w:csb0="00040000" w:csb1="00000000"/>
    <w:embedRegular r:id="rId3" w:fontKey="{7F1A8401-C022-475D-BF75-F96D9C862EC8}"/>
  </w:font>
  <w:font w:name="仿宋">
    <w:panose1 w:val="02010609060101010101"/>
    <w:charset w:val="86"/>
    <w:family w:val="auto"/>
    <w:pitch w:val="default"/>
    <w:sig w:usb0="800002BF" w:usb1="38CF7CFA" w:usb2="00000016" w:usb3="00000000" w:csb0="00040001" w:csb1="00000000"/>
    <w:embedRegular r:id="rId4" w:fontKey="{7A0845F3-061A-44E3-9B0B-B5FBF7706FEF}"/>
  </w:font>
  <w:font w:name="仿宋_GB2312">
    <w:altName w:val="仿宋"/>
    <w:panose1 w:val="02010609030101010101"/>
    <w:charset w:val="86"/>
    <w:family w:val="modern"/>
    <w:pitch w:val="default"/>
    <w:sig w:usb0="00000000" w:usb1="00000000" w:usb2="00000010" w:usb3="00000000" w:csb0="00040000" w:csb1="00000000"/>
    <w:embedRegular r:id="rId5" w:fontKey="{45D6131F-EE4C-418A-8EDA-468BC2F3697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A5144"/>
    <w:rsid w:val="40CA5144"/>
    <w:rsid w:val="4E566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2025-03-24T03:06:00Z</dcterms:created>
  <dc:creator>WPS_1711335280</dc:creator>
  <cp:lastModifiedBy>WPS_1711335280</cp:lastModifiedBy>
  <dcterms:modified xsi:type="dcterms:W3CDTF">2025-03-24T03:08:15Z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6BD72A8A73054BCAA5BD4C9CC99F4443_11</vt:lpwstr>
  </property>
  <property fmtid="{D5CDD505-2E9C-101B-9397-08002B2CF9AE}" pid="4" name="KSOTemplateDocerSaveRecord">
    <vt:lpwstr>eyJoZGlkIjoiODMyZDkxNDBhN2MwNjE0MzdjNGRlNzljMDRiYWYzZGMiLCJ1c2VySWQiOiIxNTg5MzQwNDEyIn0=</vt:lpwstr>
  </property>
</Properties>
</file>